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olor w:val="404040"/>
          <w:sz w:val="22"/>
          <w:szCs w:val="22"/>
        </w:rPr>
        <w:t xml:space="preserve">INSTITUTO NACIONAL DE PERINATOLOGÍA</w:t>
      </w:r>
    </w:p>
    <w:p>
      <w:pPr>
        <w:spacing w:before="0" w:after="400"/>
        <w:jc w:val="center"/>
      </w:pPr>
      <w:r>
        <w:rPr>
          <w:rFonts w:ascii="Arial" w:cs="Arial" w:eastAsia="Arial" w:hAnsi="Arial"/>
          <w:color w:val="404040"/>
          <w:sz w:val="22"/>
          <w:szCs w:val="22"/>
        </w:rPr>
        <w:t xml:space="preserve">Laboratorio de Investigación Perinatal</w:t>
      </w:r>
    </w:p>
    <w:p>
      <w:pPr>
        <w:spacing w:before="200" w:after="80"/>
        <w:jc w:val="center"/>
      </w:pPr>
      <w:r>
        <w:rPr>
          <w:rFonts w:ascii="Arial" w:cs="Arial" w:eastAsia="Arial" w:hAnsi="Arial"/>
          <w:b/>
          <w:bCs/>
          <w:caps/>
          <w:color w:val="2E75B6"/>
          <w:sz w:val="26"/>
          <w:szCs w:val="26"/>
        </w:rPr>
        <w:t xml:space="preserve">PROTOCOLO DE INVESTIGACIÓN</w:t>
      </w:r>
    </w:p>
    <w:p>
      <w:pPr>
        <w:pBdr>
          <w:top w:val="single" w:color="1A3F6F" w:sz="6" w:space="4"/>
          <w:bottom w:val="single" w:color="1A3F6F" w:sz="6" w:space="4"/>
        </w:pBdr>
        <w:spacing w:before="60" w:after="60"/>
        <w:jc w:val="center"/>
      </w:pPr>
      <w:r>
        <w:rPr>
          <w:rFonts w:ascii="Arial" w:cs="Arial" w:eastAsia="Arial" w:hAnsi="Arial"/>
          <w:color w:val="404040"/>
          <w:sz w:val="20"/>
          <w:szCs w:val="20"/>
        </w:rPr>
        <w:t xml:space="preserve">Proyecto 1 de 4</w:t>
      </w:r>
    </w:p>
    <w:p>
      <w:pPr>
        <w:spacing w:before="320" w:after="120"/>
        <w:jc w:val="center"/>
      </w:pPr>
      <w:r>
        <w:rPr>
          <w:rFonts w:ascii="Arial" w:cs="Arial" w:eastAsia="Arial" w:hAnsi="Arial"/>
          <w:b/>
          <w:bCs/>
          <w:color w:val="1A3F6F"/>
          <w:sz w:val="36"/>
          <w:szCs w:val="36"/>
        </w:rPr>
        <w:t xml:space="preserve">Caracterización del Daño Oxidativo Basal en Células Epiteliales de Amnion Humano (AEC): Modelos de H₂O₂ y Reacción de Fenton</w:t>
      </w:r>
    </w:p>
    <w:p>
      <w:pPr>
        <w:spacing w:before="60" w:after="480"/>
        <w:jc w:val="center"/>
      </w:pPr>
      <w:r>
        <w:rPr>
          <w:rFonts w:ascii="Arial" w:cs="Arial" w:eastAsia="Arial" w:hAnsi="Arial"/>
          <w:i/>
          <w:iCs/>
          <w:color w:val="404040"/>
          <w:sz w:val="22"/>
          <w:szCs w:val="22"/>
        </w:rPr>
        <w:t xml:space="preserve">Establecimiento de modelos in vitro para el estudio del estrés oxidativo, senescencia celular y activación inflamatoria como plataforma experimental para proyectos subsecuentes</w:t>
      </w:r>
    </w:p>
    <w:p>
      <w:pPr>
        <w:spacing w:before="200" w:after="80"/>
        <w:jc w:val="center"/>
      </w:pPr>
      <w:r>
        <w:rPr>
          <w:rFonts w:ascii="Arial" w:cs="Arial" w:eastAsia="Arial" w:hAnsi="Arial"/>
          <w:color w:val="404040"/>
          <w:sz w:val="20"/>
          <w:szCs w:val="20"/>
        </w:rPr>
        <w:t xml:space="preserve">Clave CONACYT / Número de protocolo: ______________________</w:t>
      </w:r>
    </w:p>
    <w:p>
      <w:pPr>
        <w:spacing w:before="40" w:after="40"/>
        <w:jc w:val="center"/>
      </w:pPr>
      <w:r>
        <w:rPr>
          <w:rFonts w:ascii="Arial" w:cs="Arial" w:eastAsia="Arial" w:hAnsi="Arial"/>
          <w:color w:val="404040"/>
          <w:sz w:val="20"/>
          <w:szCs w:val="20"/>
        </w:rPr>
        <w:t xml:space="preserve">Área disciplinar: Medicina Perinatal · Biología Celular · Bioquímica del Estrés Oxidativo</w:t>
      </w:r>
    </w:p>
    <w:p>
      <w:pPr>
        <w:spacing w:before="40" w:after="40"/>
        <w:jc w:val="center"/>
      </w:pPr>
      <w:r>
        <w:rPr>
          <w:rFonts w:ascii="Arial" w:cs="Arial" w:eastAsia="Arial" w:hAnsi="Arial"/>
          <w:color w:val="404040"/>
          <w:sz w:val="20"/>
          <w:szCs w:val="20"/>
        </w:rPr>
        <w:t xml:space="preserve">Año de registro: 2025</w:t>
      </w:r>
    </w:p>
    <w:p>
      <w:r>
        <w:br w:type="page"/>
      </w:r>
    </w:p>
    <w:sdt>
      <w:sdtPr>
        <w:alias w:val="ÍNDICE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160"/>
      </w:pPr>
      <w:r>
        <w:rPr>
          <w:rFonts w:ascii="Arial" w:cs="Arial" w:eastAsia="Arial" w:hAnsi="Arial"/>
          <w:b/>
          <w:bCs/>
          <w:caps/>
          <w:color w:val="1A3F6F"/>
          <w:sz w:val="32"/>
          <w:szCs w:val="32"/>
        </w:rPr>
        <w:t xml:space="preserve">I. Resumen Ejecutivo</w:t>
      </w:r>
    </w:p>
    <w:p>
      <w:pPr>
        <w:spacing w:before="80" w:after="80" w:line="276"/>
        <w:jc w:val="both"/>
      </w:pPr>
      <w:r>
        <w:rPr>
          <w:rFonts w:ascii="Arial" w:cs="Arial" w:eastAsia="Arial" w:hAnsi="Arial"/>
          <w:color w:val="404040"/>
          <w:sz w:val="22"/>
          <w:szCs w:val="22"/>
        </w:rPr>
        <w:t xml:space="preserve">El Proyecto 1 constituye el fundamento metodológico de una línea de investigación de cuatro etapas orientada a comprender el impacto del ambiente inflamatorio-oxidativo de la obesidad materna sobre las membranas fetales, y evaluar el potencial citoprotector de la leche humana. Esta primera fase tiene como propósito establecer y validar dos modelos in vitro de daño oxidativo en células epiteliales de amnion humano (AEC): la exposición directa a peróxido de hidrógeno (H₂O₂) y la reacción de Fenton (FeSO₄ + H₂O₂). Para cada modelo se generarán curvas dosis-respuesta de viabilidad y se caracterizarán sistemáticamente los marcadores de estrés oxidativo (ROS, MDA, proteínas carboniladas, actividad enzimática antioxidante), de señalización intracelular (p38-MAPK, NF-κB) y de destino celular (senescencia, apoptosis, transición epitelio-mesénquima). El N-acetilcisteína (NAC) servirá como control antioxidante positivo. Los resultados definirán las condiciones experimentales estándar para los Proyectos 2, 3 y 4.</w:t>
      </w:r>
    </w:p>
    <w:p>
      <w:pPr>
        <w:spacing w:before="40" w:after="40"/>
      </w:pPr>
      <w:r>
        <w:t xml:space="preserve"/>
      </w:r>
    </w:p>
    <w:p>
      <w:pPr>
        <w:pStyle w:val="Heading1"/>
        <w:spacing w:before="400" w:after="160"/>
      </w:pPr>
      <w:r>
        <w:rPr>
          <w:rFonts w:ascii="Arial" w:cs="Arial" w:eastAsia="Arial" w:hAnsi="Arial"/>
          <w:b/>
          <w:bCs/>
          <w:caps/>
          <w:color w:val="1A3F6F"/>
          <w:sz w:val="32"/>
          <w:szCs w:val="32"/>
        </w:rPr>
        <w:t xml:space="preserve">II. Introducción y Antecedentes</w:t>
      </w:r>
    </w:p>
    <w:p>
      <w:pPr>
        <w:pStyle w:val="Heading2"/>
        <w:spacing w:before="280" w:after="120"/>
      </w:pPr>
      <w:r>
        <w:rPr>
          <w:rFonts w:ascii="Arial" w:cs="Arial" w:eastAsia="Arial" w:hAnsi="Arial"/>
          <w:b/>
          <w:bCs/>
          <w:color w:val="2E75B6"/>
          <w:sz w:val="26"/>
          <w:szCs w:val="26"/>
        </w:rPr>
        <w:t xml:space="preserve">2.1 Las células epiteliales de amnion como modelo de estudio</w:t>
      </w:r>
    </w:p>
    <w:p>
      <w:pPr>
        <w:spacing w:before="80" w:after="80" w:line="276"/>
        <w:jc w:val="both"/>
      </w:pPr>
      <w:r>
        <w:rPr>
          <w:rFonts w:ascii="Arial" w:cs="Arial" w:eastAsia="Arial" w:hAnsi="Arial"/>
          <w:color w:val="404040"/>
          <w:sz w:val="22"/>
          <w:szCs w:val="22"/>
        </w:rPr>
        <w:t xml:space="preserve">Las membranas fetales —compuestas por el amnion y el corion— rodean la cavidad intrauterina y son críticas para el mantenimiento del embarazo. El amnion contiene dos poblaciones celulares principales: las células epiteliales (AEC) y las células mesenquimales (AMC), en una proporción aproximada de 10:1 durante la gestación normal. Las AEC expresan citoqueratinas (CK-18, CK-7) como marcadores de identidad, forman la barrera epitelial de la capa amniótica más interna y son las primeras en responder a los insultos ambientales que comprometen la integridad de las membranas (Truong et al., 2023; Menon et al., 2020).</w:t>
      </w:r>
    </w:p>
    <w:p>
      <w:pPr>
        <w:spacing w:before="80" w:after="80" w:line="276"/>
        <w:jc w:val="both"/>
      </w:pPr>
      <w:r>
        <w:rPr>
          <w:rFonts w:ascii="Arial" w:cs="Arial" w:eastAsia="Arial" w:hAnsi="Arial"/>
          <w:color w:val="404040"/>
          <w:sz w:val="22"/>
          <w:szCs w:val="22"/>
        </w:rPr>
        <w:t xml:space="preserve">El estrés oxidativo es uno de los mecanismos etiopatogénicos más relevantes del parto pretérmino (PTB) y la ruptura prematura de membranas (pPROM). Las AEC son particularmente sensibles a las especies reactivas de oxígeno (ROS): su exposición a agentes oxidantes induce rápidamente daño en ADN, activación de la vía ASK1-p38-MAPK y senescencia celular, contribuyendo al fenotipo secretor asociado a senescencia (SASP) que impulsa la inflamación intrauterina (Menon et al., 2013). Adicionalmente, el estrés oxidativo sostenido puede desencadenar en AEC una transición epitelio-mesénquima (EMT), caracterizada por pérdida de CK-18 y adquisición de vimentina, lo que compromete la integridad mecánica de la membrana (Richardson et al., 2022).</w:t>
      </w:r>
    </w:p>
    <w:p>
      <w:pPr>
        <w:pStyle w:val="Heading2"/>
        <w:spacing w:before="280" w:after="120"/>
      </w:pPr>
      <w:r>
        <w:rPr>
          <w:rFonts w:ascii="Arial" w:cs="Arial" w:eastAsia="Arial" w:hAnsi="Arial"/>
          <w:b/>
          <w:bCs/>
          <w:color w:val="2E75B6"/>
          <w:sz w:val="26"/>
          <w:szCs w:val="26"/>
        </w:rPr>
        <w:t xml:space="preserve">2.2 Modelos de daño oxidativo en células de membrana fetal</w:t>
      </w:r>
    </w:p>
    <w:p>
      <w:pPr>
        <w:spacing w:before="80" w:after="80" w:line="276"/>
        <w:jc w:val="both"/>
      </w:pPr>
      <w:r>
        <w:rPr>
          <w:rFonts w:ascii="Arial" w:cs="Arial" w:eastAsia="Arial" w:hAnsi="Arial"/>
          <w:color w:val="404040"/>
          <w:sz w:val="22"/>
          <w:szCs w:val="22"/>
        </w:rPr>
        <w:t xml:space="preserve">La mayoría de los estudios previos en AEC han empleado el extracto de humo de cigarro (CSE) como inductor de estrés oxidativo. Si bien este modelo ha sido ampliamente validado, su naturaleza multicomponente dificulta la atribución del daño a mecanismos específicos. El uso de H₂O₂ a concentraciones definidas permite modular con precisión la magnitud del estrés, mientras que la reacción de Fenton permite reproducir el daño mediado por radical hidroxilo (•OH) que ocurre en condiciones patológicas como la inflamación crónica o la isquemia-reperfusión.</w:t>
      </w:r>
    </w:p>
    <w:p>
      <w:pPr>
        <w:spacing w:before="80" w:after="80" w:line="276"/>
        <w:jc w:val="both"/>
      </w:pPr>
      <w:r>
        <w:rPr>
          <w:rFonts w:ascii="Arial" w:cs="Arial" w:eastAsia="Arial" w:hAnsi="Arial"/>
          <w:b/>
          <w:bCs/>
          <w:color w:val="404040"/>
          <w:sz w:val="22"/>
          <w:szCs w:val="22"/>
        </w:rPr>
        <w:t xml:space="preserve">H₂O₂ directo:</w:t>
      </w:r>
      <w:r>
        <w:rPr>
          <w:rFonts w:ascii="Arial" w:cs="Arial" w:eastAsia="Arial" w:hAnsi="Arial"/>
          <w:color w:val="404040"/>
          <w:sz w:val="22"/>
          <w:szCs w:val="22"/>
        </w:rPr>
        <w:t xml:space="preserve"> el H₂O₂ difunde libremente a través de las membranas celulares. A concentraciones de 50–300 µM induce disminución dosis-dependiente de la viabilidad en células epiteliales, activación de p38-MAPK, fosforilación de p65-NF-κB y liberación de citocinas proinflamatorias (IL-6, IL-8, TNF-α). La inhibición selectiva de p38-MAPK con SB203580 atenúa la apoptosis inducida por H₂O₂, pero no previene completamente el daño celular, lo que sugiere la existencia de vías paralelas (Menon et al., 2016; Jiang et al., 2020).</w:t>
      </w:r>
    </w:p>
    <w:p>
      <w:pPr>
        <w:spacing w:before="80" w:after="80" w:line="276"/>
        <w:jc w:val="both"/>
      </w:pPr>
      <w:r>
        <w:rPr>
          <w:rFonts w:ascii="Arial" w:cs="Arial" w:eastAsia="Arial" w:hAnsi="Arial"/>
          <w:b/>
          <w:bCs/>
          <w:color w:val="404040"/>
          <w:sz w:val="22"/>
          <w:szCs w:val="22"/>
        </w:rPr>
        <w:t xml:space="preserve">Reacción de Fenton (Fe²⁺ + H₂O₂ → Fe³⁺ + OH⁻ + •OH):</w:t>
      </w:r>
      <w:r>
        <w:rPr>
          <w:rFonts w:ascii="Arial" w:cs="Arial" w:eastAsia="Arial" w:hAnsi="Arial"/>
          <w:color w:val="404040"/>
          <w:sz w:val="22"/>
          <w:szCs w:val="22"/>
        </w:rPr>
        <w:t xml:space="preserve"> genera radical hidroxilo (•OH), el oxidante biológico más reactivo. El •OH oxida proteínas, lípidos y bases de ADN en el entorno inmediato de su formación. El sistema Fenton replica el daño que ocurre cuando el hierro libre —liberado durante inflamación o hemólisis— interactúa con el H₂O₂ endógeno. En comparación con H₂O₂ solo, el sistema Fenton genera daño más severo a concentraciones equimolares de H₂O₂ y activa vías de señalización adicionales asociadas a daño en ADN.</w:t>
      </w:r>
    </w:p>
    <w:p>
      <w:pPr>
        <w:pStyle w:val="Heading2"/>
        <w:spacing w:before="280" w:after="120"/>
      </w:pPr>
      <w:r>
        <w:rPr>
          <w:rFonts w:ascii="Arial" w:cs="Arial" w:eastAsia="Arial" w:hAnsi="Arial"/>
          <w:b/>
          <w:bCs/>
          <w:color w:val="2E75B6"/>
          <w:sz w:val="26"/>
          <w:szCs w:val="26"/>
        </w:rPr>
        <w:t xml:space="preserve">2.3 La vía ASK1-p38-MAPK y el destino celular</w:t>
      </w:r>
    </w:p>
    <w:p>
      <w:pPr>
        <w:spacing w:before="80" w:after="80" w:line="276"/>
        <w:jc w:val="both"/>
      </w:pPr>
      <w:r>
        <w:rPr>
          <w:rFonts w:ascii="Arial" w:cs="Arial" w:eastAsia="Arial" w:hAnsi="Arial"/>
          <w:color w:val="404040"/>
          <w:sz w:val="22"/>
          <w:szCs w:val="22"/>
        </w:rPr>
        <w:t xml:space="preserve">La quinasa reguladora de señales de apoptosis 1 (ASK1) es el sensor proximal de ROS en las AEC. Bajo condiciones basales, ASK1 se mantiene inactiva unida a tiorredoxina (Trx). La oxidación de Trx por ROS libera ASK1, la cual activa la cascada p38-MAPK mediante fosforilación en treonina 180 y tirosina 182. El p38-MAPK fosforilado (p-p38) actúa como regulador central de la senescencia, la inflamación y la EMT en las AEC. Menon et al. (2013) demostraron que la acumulación de ROS en AEC expuestas a wsCSE activa secuencialmente ASK1, p-p38 y p19Arf, correlacionando con el porcentaje de células con β-galactosidasa positiva (SAβ-gal), marcador canónico de senescencia. El NAC previno la fosforilación de p38 y el daño en ADN, pero no afectó la activación de ASK1, evidenciando que ASK1 funciona como sensor redox upstream independiente de ROS directos.</w:t>
      </w:r>
    </w:p>
    <w:p>
      <w:pPr>
        <w:spacing w:before="40" w:after="40"/>
      </w:pPr>
      <w:r>
        <w:t xml:space="preserve"/>
      </w:r>
    </w:p>
    <w:p>
      <w:pPr>
        <w:pStyle w:val="Heading1"/>
        <w:spacing w:before="400" w:after="160"/>
      </w:pPr>
      <w:r>
        <w:rPr>
          <w:rFonts w:ascii="Arial" w:cs="Arial" w:eastAsia="Arial" w:hAnsi="Arial"/>
          <w:b/>
          <w:bCs/>
          <w:caps/>
          <w:color w:val="1A3F6F"/>
          <w:sz w:val="32"/>
          <w:szCs w:val="32"/>
        </w:rPr>
        <w:t xml:space="preserve">III. Justificación</w:t>
      </w:r>
    </w:p>
    <w:p>
      <w:pPr>
        <w:spacing w:before="80" w:after="80" w:line="276"/>
        <w:jc w:val="both"/>
      </w:pPr>
      <w:r>
        <w:rPr>
          <w:rFonts w:ascii="Arial" w:cs="Arial" w:eastAsia="Arial" w:hAnsi="Arial"/>
          <w:color w:val="404040"/>
          <w:sz w:val="22"/>
          <w:szCs w:val="22"/>
        </w:rPr>
        <w:t xml:space="preserve">Los proyectos subsecuentes de esta línea de investigación requieren exponer AEC a suero de madres con obesidad y a suero de leche humana, y evaluar la vía Nrf2 como blanco molecular. Para interpretar correctamente esos resultados es indispensable conocer: (1) cuál es el nivel basal de ROS, actividad antioxidante y senescencia en AEC de término sin estímulo, (2) cómo responden las células a gradientes controlados de daño oxidativo, y (3) cuál es la concentración de H₂O₂ o Fenton que genera daño subletal reproducible —es decir, que active las vías de señalización de interés sin comprometer la viabilidad celular.</w:t>
      </w:r>
    </w:p>
    <w:p>
      <w:pPr>
        <w:spacing w:before="80" w:after="80" w:line="276"/>
        <w:jc w:val="both"/>
      </w:pPr>
      <w:r>
        <w:rPr>
          <w:rFonts w:ascii="Arial" w:cs="Arial" w:eastAsia="Arial" w:hAnsi="Arial"/>
          <w:color w:val="404040"/>
          <w:sz w:val="22"/>
          <w:szCs w:val="22"/>
        </w:rPr>
        <w:t xml:space="preserve">Sin este proyecto fundacional, los experimentos posteriores carecerían de una línea de base validada y los controles positivos de daño no tendrían un respaldo metodológico robusto. Adicionalmente, la caracterización de la EMT inducida por oxidantes en AEC es un resultado con valor científico independiente, dada su relevancia mecanística en la ruptura prematura de membranas.</w:t>
      </w:r>
    </w:p>
    <w:p>
      <w:pPr>
        <w:spacing w:before="40" w:after="40"/>
      </w:pPr>
      <w:r>
        <w:t xml:space="preserve"/>
      </w:r>
    </w:p>
    <w:p>
      <w:pPr>
        <w:pStyle w:val="Heading1"/>
        <w:spacing w:before="400" w:after="160"/>
      </w:pPr>
      <w:r>
        <w:rPr>
          <w:rFonts w:ascii="Arial" w:cs="Arial" w:eastAsia="Arial" w:hAnsi="Arial"/>
          <w:b/>
          <w:bCs/>
          <w:caps/>
          <w:color w:val="1A3F6F"/>
          <w:sz w:val="32"/>
          <w:szCs w:val="32"/>
        </w:rPr>
        <w:t xml:space="preserve">IV. Hipótesis</w:t>
      </w:r>
    </w:p>
    <w:p>
      <w:pPr>
        <w:pStyle w:val="Heading2"/>
        <w:spacing w:before="280" w:after="120"/>
      </w:pPr>
      <w:r>
        <w:rPr>
          <w:rFonts w:ascii="Arial" w:cs="Arial" w:eastAsia="Arial" w:hAnsi="Arial"/>
          <w:b/>
          <w:bCs/>
          <w:color w:val="2E75B6"/>
          <w:sz w:val="26"/>
          <w:szCs w:val="26"/>
        </w:rPr>
        <w:t xml:space="preserve">4.1 Hipótesis nula (H₀)</w:t>
      </w:r>
    </w:p>
    <w:p>
      <w:pPr>
        <w:spacing w:before="80" w:after="80" w:line="276"/>
        <w:jc w:val="both"/>
      </w:pPr>
      <w:r>
        <w:rPr>
          <w:rFonts w:ascii="Arial" w:cs="Arial" w:eastAsia="Arial" w:hAnsi="Arial"/>
          <w:color w:val="404040"/>
          <w:sz w:val="22"/>
          <w:szCs w:val="22"/>
        </w:rPr>
        <w:t xml:space="preserve">La exposición de AEC a concentraciones crecientes de H₂O₂ directo o al sistema Fenton (FeSO₄ + H₂O₂) no modificará de manera dosis-dependiente la viabilidad celular, la producción de ROS intracelular, los marcadores de estrés oxidativo, la activación de p38-MAPK ni la inducción de senescencia en comparación con el grupo control.</w:t>
      </w:r>
    </w:p>
    <w:p>
      <w:pPr>
        <w:pStyle w:val="Heading2"/>
        <w:spacing w:before="280" w:after="120"/>
      </w:pPr>
      <w:r>
        <w:rPr>
          <w:rFonts w:ascii="Arial" w:cs="Arial" w:eastAsia="Arial" w:hAnsi="Arial"/>
          <w:b/>
          <w:bCs/>
          <w:color w:val="2E75B6"/>
          <w:sz w:val="26"/>
          <w:szCs w:val="26"/>
        </w:rPr>
        <w:t xml:space="preserve">4.2 Hipótesis alterna (H₁)</w:t>
      </w:r>
    </w:p>
    <w:p>
      <w:pPr>
        <w:spacing w:before="80" w:after="80" w:line="276"/>
        <w:jc w:val="both"/>
      </w:pPr>
      <w:r>
        <w:rPr>
          <w:rFonts w:ascii="Arial" w:cs="Arial" w:eastAsia="Arial" w:hAnsi="Arial"/>
          <w:color w:val="404040"/>
          <w:sz w:val="22"/>
          <w:szCs w:val="22"/>
        </w:rPr>
        <w:t xml:space="preserve">La exposición de AEC a concentraciones crecientes de H₂O₂ directo y al sistema Fenton inducirá reducción dosis-dependiente de la viabilidad celular, incremento en la producción de ROS intracelular y marcadores de peroxidación lipídica, activación de la vía ASK1-p38-MAPK, senescencia celular (SAβ-gal⁺) y emisión de citocinas proinflamatorias (IL-6, IL-8, TNF-α). La reacción de Fenton generará mayor daño que el H₂O₂ solo a concentraciones equimolares de H₂O₂, y el pretratamiento con NAC atenuará significativamente estos efectos.</w:t>
      </w:r>
    </w:p>
    <w:p>
      <w:pPr>
        <w:spacing w:before="40" w:after="40"/>
      </w:pPr>
      <w:r>
        <w:t xml:space="preserve"/>
      </w:r>
    </w:p>
    <w:p>
      <w:pPr>
        <w:pStyle w:val="Heading1"/>
        <w:spacing w:before="400" w:after="160"/>
      </w:pPr>
      <w:r>
        <w:rPr>
          <w:rFonts w:ascii="Arial" w:cs="Arial" w:eastAsia="Arial" w:hAnsi="Arial"/>
          <w:b/>
          <w:bCs/>
          <w:caps/>
          <w:color w:val="1A3F6F"/>
          <w:sz w:val="32"/>
          <w:szCs w:val="32"/>
        </w:rPr>
        <w:t xml:space="preserve">V. Objetivos</w:t>
      </w:r>
    </w:p>
    <w:p>
      <w:pPr>
        <w:pStyle w:val="Heading2"/>
        <w:spacing w:before="280" w:after="120"/>
      </w:pPr>
      <w:r>
        <w:rPr>
          <w:rFonts w:ascii="Arial" w:cs="Arial" w:eastAsia="Arial" w:hAnsi="Arial"/>
          <w:b/>
          <w:bCs/>
          <w:color w:val="2E75B6"/>
          <w:sz w:val="26"/>
          <w:szCs w:val="26"/>
        </w:rPr>
        <w:t xml:space="preserve">5.1 Objetivo general</w:t>
      </w:r>
    </w:p>
    <w:p>
      <w:pPr>
        <w:spacing w:before="80" w:after="80" w:line="276"/>
        <w:jc w:val="both"/>
      </w:pPr>
      <w:r>
        <w:rPr>
          <w:rFonts w:ascii="Arial" w:cs="Arial" w:eastAsia="Arial" w:hAnsi="Arial"/>
          <w:color w:val="404040"/>
          <w:sz w:val="22"/>
          <w:szCs w:val="22"/>
        </w:rPr>
        <w:t xml:space="preserve">Establecer y caracterizar dos modelos in vitro de daño oxidativo —exposición a H₂O₂ directo y reacción de Fenton— en células epiteliales de amnion humano (AEC) de término, evaluando su impacto dosis-dependiente sobre la viabilidad, el estrés oxidativo, la activación de vías de señalización inflamatoria (ASK1-p38-MAPK, NF-κB) y el destino celular (senescencia, apoptosis, EMT), a fin de establecer condiciones experimentales estándar para proyectos subsecuentes.</w:t>
      </w:r>
    </w:p>
    <w:p>
      <w:pPr>
        <w:pStyle w:val="Heading2"/>
        <w:spacing w:before="280" w:after="120"/>
      </w:pPr>
      <w:r>
        <w:rPr>
          <w:rFonts w:ascii="Arial" w:cs="Arial" w:eastAsia="Arial" w:hAnsi="Arial"/>
          <w:b/>
          <w:bCs/>
          <w:color w:val="2E75B6"/>
          <w:sz w:val="26"/>
          <w:szCs w:val="26"/>
        </w:rPr>
        <w:t xml:space="preserve">5.2 Objetivos específicos</w:t>
      </w:r>
    </w:p>
    <w:p>
      <w:pPr>
        <w:pStyle w:val="ListParagraph"/>
        <w:numPr>
          <w:ilvl w:val="0"/>
          <w:numId w:val="2"/>
        </w:numPr>
        <w:spacing w:before="40" w:after="40" w:line="264"/>
        <w:jc w:val="both"/>
      </w:pPr>
      <w:r>
        <w:rPr>
          <w:rFonts w:ascii="Arial" w:cs="Arial" w:eastAsia="Arial" w:hAnsi="Arial"/>
          <w:color w:val="404040"/>
          <w:sz w:val="22"/>
          <w:szCs w:val="22"/>
        </w:rPr>
        <w:t xml:space="preserve">Determinar la curva dosis-respuesta de viabilidad (MTT) en AEC expuestas a H₂O₂ (0, 50, 150, 300 µM) y al sistema Fenton (FeSO₄ 10, 25, 50 µM + H₂O₂ proporcional) a 24 y 48 horas de incubación.</w:t>
      </w:r>
    </w:p>
    <w:p>
      <w:pPr>
        <w:pStyle w:val="ListParagraph"/>
        <w:numPr>
          <w:ilvl w:val="0"/>
          <w:numId w:val="2"/>
        </w:numPr>
        <w:spacing w:before="40" w:after="40" w:line="264"/>
        <w:jc w:val="both"/>
      </w:pPr>
      <w:r>
        <w:rPr>
          <w:rFonts w:ascii="Arial" w:cs="Arial" w:eastAsia="Arial" w:hAnsi="Arial"/>
          <w:color w:val="404040"/>
          <w:sz w:val="22"/>
          <w:szCs w:val="22"/>
        </w:rPr>
        <w:t xml:space="preserve">Cuantificar la producción de ROS intracelular mediante el ensayo DCF-DA a 2, 6, 24 y 48 h post-estimulación en todos los grupos experimentales.</w:t>
      </w:r>
    </w:p>
    <w:p>
      <w:pPr>
        <w:pStyle w:val="ListParagraph"/>
        <w:numPr>
          <w:ilvl w:val="0"/>
          <w:numId w:val="2"/>
        </w:numPr>
        <w:spacing w:before="40" w:after="40" w:line="264"/>
        <w:jc w:val="both"/>
      </w:pPr>
      <w:r>
        <w:rPr>
          <w:rFonts w:ascii="Arial" w:cs="Arial" w:eastAsia="Arial" w:hAnsi="Arial"/>
          <w:color w:val="404040"/>
          <w:sz w:val="22"/>
          <w:szCs w:val="22"/>
        </w:rPr>
        <w:t xml:space="preserve">Determinar los niveles de peroxidación lipídica (MDA/TBARS) y proteínas carboniladas como marcadores de daño oxidativo en AEC a 24 y 48 h.</w:t>
      </w:r>
    </w:p>
    <w:p>
      <w:pPr>
        <w:pStyle w:val="ListParagraph"/>
        <w:numPr>
          <w:ilvl w:val="0"/>
          <w:numId w:val="2"/>
        </w:numPr>
        <w:spacing w:before="40" w:after="40" w:line="264"/>
        <w:jc w:val="both"/>
      </w:pPr>
      <w:r>
        <w:rPr>
          <w:rFonts w:ascii="Arial" w:cs="Arial" w:eastAsia="Arial" w:hAnsi="Arial"/>
          <w:color w:val="404040"/>
          <w:sz w:val="22"/>
          <w:szCs w:val="22"/>
        </w:rPr>
        <w:t xml:space="preserve">Evaluar la actividad enzimática de las defensas antioxidantes celulares (SOD, catalasa, GPx) en respuesta a cada modelo de daño a 24 y 48 h.</w:t>
      </w:r>
    </w:p>
    <w:p>
      <w:pPr>
        <w:pStyle w:val="ListParagraph"/>
        <w:numPr>
          <w:ilvl w:val="0"/>
          <w:numId w:val="2"/>
        </w:numPr>
        <w:spacing w:before="40" w:after="40" w:line="264"/>
        <w:jc w:val="both"/>
      </w:pPr>
      <w:r>
        <w:rPr>
          <w:rFonts w:ascii="Arial" w:cs="Arial" w:eastAsia="Arial" w:hAnsi="Arial"/>
          <w:color w:val="404040"/>
          <w:sz w:val="22"/>
          <w:szCs w:val="22"/>
        </w:rPr>
        <w:t xml:space="preserve">Detectar y cuantificar la activación de la vía ASK1-p38-MAPK mediante Western blot (p-p38/p38 total) y su relación temporal con la producción de ROS a 3, 6 y 24 h.</w:t>
      </w:r>
    </w:p>
    <w:p>
      <w:pPr>
        <w:pStyle w:val="ListParagraph"/>
        <w:numPr>
          <w:ilvl w:val="0"/>
          <w:numId w:val="2"/>
        </w:numPr>
        <w:spacing w:before="40" w:after="40" w:line="264"/>
        <w:jc w:val="both"/>
      </w:pPr>
      <w:r>
        <w:rPr>
          <w:rFonts w:ascii="Arial" w:cs="Arial" w:eastAsia="Arial" w:hAnsi="Arial"/>
          <w:color w:val="404040"/>
          <w:sz w:val="22"/>
          <w:szCs w:val="22"/>
        </w:rPr>
        <w:t xml:space="preserve">Evaluar la activación de NF-κB (p-p65 nuclear) y la liberación de citocinas proinflamatorias (IL-6, IL-8, TNF-α) por ELISA en sobrenadante de cultivo a 24 y 48 h.</w:t>
      </w:r>
    </w:p>
    <w:p>
      <w:pPr>
        <w:pStyle w:val="ListParagraph"/>
        <w:numPr>
          <w:ilvl w:val="0"/>
          <w:numId w:val="2"/>
        </w:numPr>
        <w:spacing w:before="40" w:after="40" w:line="264"/>
        <w:jc w:val="both"/>
      </w:pPr>
      <w:r>
        <w:rPr>
          <w:rFonts w:ascii="Arial" w:cs="Arial" w:eastAsia="Arial" w:hAnsi="Arial"/>
          <w:color w:val="404040"/>
          <w:sz w:val="22"/>
          <w:szCs w:val="22"/>
        </w:rPr>
        <w:t xml:space="preserve">Determinar la inducción de senescencia celular (SAβ-gal), apoptosis (Anexina V/IP) y transición epitelio-mesénquima (CK-18/Vimentina) en cada modelo de daño a 48 h.</w:t>
      </w:r>
    </w:p>
    <w:p>
      <w:pPr>
        <w:pStyle w:val="ListParagraph"/>
        <w:numPr>
          <w:ilvl w:val="0"/>
          <w:numId w:val="2"/>
        </w:numPr>
        <w:spacing w:before="40" w:after="40" w:line="264"/>
        <w:jc w:val="both"/>
      </w:pPr>
      <w:r>
        <w:rPr>
          <w:rFonts w:ascii="Arial" w:cs="Arial" w:eastAsia="Arial" w:hAnsi="Arial"/>
          <w:color w:val="404040"/>
          <w:sz w:val="22"/>
          <w:szCs w:val="22"/>
        </w:rPr>
        <w:t xml:space="preserve">Evaluar el efecto del pretratamiento con N-acetilcisteína (NAC, 10 mM, 1 h) sobre todos los parámetros anteriores en el grupo de daño moderado (H₂O₂ 150 µM), como validación del componente oxidativo del modelo.</w:t>
      </w:r>
    </w:p>
    <w:p>
      <w:pPr>
        <w:spacing w:before="40" w:after="40"/>
      </w:pPr>
      <w:r>
        <w:t xml:space="preserve"/>
      </w:r>
    </w:p>
    <w:p>
      <w:pPr>
        <w:pStyle w:val="Heading1"/>
        <w:spacing w:before="400" w:after="160"/>
      </w:pPr>
      <w:r>
        <w:rPr>
          <w:rFonts w:ascii="Arial" w:cs="Arial" w:eastAsia="Arial" w:hAnsi="Arial"/>
          <w:b/>
          <w:bCs/>
          <w:caps/>
          <w:color w:val="1A3F6F"/>
          <w:sz w:val="32"/>
          <w:szCs w:val="32"/>
        </w:rPr>
        <w:t xml:space="preserve">VI. Diseño Metodológico</w:t>
      </w:r>
    </w:p>
    <w:p>
      <w:pPr>
        <w:pStyle w:val="Heading2"/>
        <w:spacing w:before="280" w:after="120"/>
      </w:pPr>
      <w:r>
        <w:rPr>
          <w:rFonts w:ascii="Arial" w:cs="Arial" w:eastAsia="Arial" w:hAnsi="Arial"/>
          <w:b/>
          <w:bCs/>
          <w:color w:val="2E75B6"/>
          <w:sz w:val="26"/>
          <w:szCs w:val="26"/>
        </w:rPr>
        <w:t xml:space="preserve">6.1 Tipo de estudio</w:t>
      </w:r>
    </w:p>
    <w:p>
      <w:pPr>
        <w:spacing w:before="80" w:after="80" w:line="276"/>
        <w:jc w:val="both"/>
      </w:pPr>
      <w:r>
        <w:rPr>
          <w:rFonts w:ascii="Arial" w:cs="Arial" w:eastAsia="Arial" w:hAnsi="Arial"/>
          <w:color w:val="404040"/>
          <w:sz w:val="22"/>
          <w:szCs w:val="22"/>
        </w:rPr>
        <w:t xml:space="preserve">Estudio experimental in vitro, prospectivo, con diseño factorial. Variable independiente: tipo y concentración del estímulo oxidante. Variables dependientes: parámetros de viabilidad, estrés oxidativo, señalización intracelular y destino celular. Variable de control: tiempo de exposición (24 h y 48 h).</w:t>
      </w:r>
    </w:p>
    <w:p>
      <w:pPr>
        <w:pStyle w:val="Heading2"/>
        <w:spacing w:before="280" w:after="120"/>
      </w:pPr>
      <w:r>
        <w:rPr>
          <w:rFonts w:ascii="Arial" w:cs="Arial" w:eastAsia="Arial" w:hAnsi="Arial"/>
          <w:b/>
          <w:bCs/>
          <w:color w:val="2E75B6"/>
          <w:sz w:val="26"/>
          <w:szCs w:val="26"/>
        </w:rPr>
        <w:t xml:space="preserve">6.2 Obtención de membranas fetales</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Fuente: membranas fetales humanas de término sin trabajo de parto (cesárea electiva), captadas en el biobanco del Instituto Nacional de Perinatología (INPer).</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Criterios de inclusión: embarazo único a término (≥37 semanas), ausencia de infección, sin patologías maternas conocidas (preeclampsia, diabetes gestacional, infecciones).</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Criterios de exclusión: membranas con signos macroscópicos de infección, RPM previa, embarazo múltiple o corioamnionitis histológica.</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La obtención de muestras se realizará bajo protocolo aprobado por el Comité de Ética e Investigación del INPer y con consentimiento informado firmado por la paciente.</w:t>
      </w:r>
    </w:p>
    <w:p>
      <w:pPr>
        <w:pStyle w:val="Heading2"/>
        <w:spacing w:before="280" w:after="120"/>
      </w:pPr>
      <w:r>
        <w:rPr>
          <w:rFonts w:ascii="Arial" w:cs="Arial" w:eastAsia="Arial" w:hAnsi="Arial"/>
          <w:b/>
          <w:bCs/>
          <w:color w:val="2E75B6"/>
          <w:sz w:val="26"/>
          <w:szCs w:val="26"/>
        </w:rPr>
        <w:t xml:space="preserve">6.3 Aislamiento y cultivo de AEC</w:t>
      </w:r>
    </w:p>
    <w:p>
      <w:pPr>
        <w:pStyle w:val="ListParagraph"/>
        <w:numPr>
          <w:ilvl w:val="0"/>
          <w:numId w:val="2"/>
        </w:numPr>
        <w:spacing w:before="40" w:after="40" w:line="264"/>
        <w:jc w:val="both"/>
      </w:pPr>
      <w:r>
        <w:rPr>
          <w:rFonts w:ascii="Arial" w:cs="Arial" w:eastAsia="Arial" w:hAnsi="Arial"/>
          <w:color w:val="404040"/>
          <w:sz w:val="22"/>
          <w:szCs w:val="22"/>
        </w:rPr>
        <w:t xml:space="preserve">Lavar la membrana amniótica con PBS estéril (3×) para retirar sangre y detritos.</w:t>
      </w:r>
    </w:p>
    <w:p>
      <w:pPr>
        <w:pStyle w:val="ListParagraph"/>
        <w:numPr>
          <w:ilvl w:val="0"/>
          <w:numId w:val="2"/>
        </w:numPr>
        <w:spacing w:before="40" w:after="40" w:line="264"/>
        <w:jc w:val="both"/>
      </w:pPr>
      <w:r>
        <w:rPr>
          <w:rFonts w:ascii="Arial" w:cs="Arial" w:eastAsia="Arial" w:hAnsi="Arial"/>
          <w:color w:val="404040"/>
          <w:sz w:val="22"/>
          <w:szCs w:val="22"/>
        </w:rPr>
        <w:t xml:space="preserve">Desprender el amnion del corion manualmente bajo condiciones de esterilidad.</w:t>
      </w:r>
    </w:p>
    <w:p>
      <w:pPr>
        <w:pStyle w:val="ListParagraph"/>
        <w:numPr>
          <w:ilvl w:val="0"/>
          <w:numId w:val="2"/>
        </w:numPr>
        <w:spacing w:before="40" w:after="40" w:line="264"/>
        <w:jc w:val="both"/>
      </w:pPr>
      <w:r>
        <w:rPr>
          <w:rFonts w:ascii="Arial" w:cs="Arial" w:eastAsia="Arial" w:hAnsi="Arial"/>
          <w:color w:val="404040"/>
          <w:sz w:val="22"/>
          <w:szCs w:val="22"/>
        </w:rPr>
        <w:t xml:space="preserve">Cortar el amnion en fragmentos de ~1 cm² y realizar digestión enzimática con tripsina 0.25% + EDTA 0.5 mM a 37°C, 15 min (3×), descartando la primera digestión (fragmentos sueltos) y recolectando las siguientes.</w:t>
      </w:r>
    </w:p>
    <w:p>
      <w:pPr>
        <w:pStyle w:val="ListParagraph"/>
        <w:numPr>
          <w:ilvl w:val="0"/>
          <w:numId w:val="2"/>
        </w:numPr>
        <w:spacing w:before="40" w:after="40" w:line="264"/>
        <w:jc w:val="both"/>
      </w:pPr>
      <w:r>
        <w:rPr>
          <w:rFonts w:ascii="Arial" w:cs="Arial" w:eastAsia="Arial" w:hAnsi="Arial"/>
          <w:color w:val="404040"/>
          <w:sz w:val="22"/>
          <w:szCs w:val="22"/>
        </w:rPr>
        <w:t xml:space="preserve">Neutralizar con DMEM/F-12 suplementado con SFB 10% y centrifugar a 300 × g, 5 min.</w:t>
      </w:r>
    </w:p>
    <w:p>
      <w:pPr>
        <w:pStyle w:val="ListParagraph"/>
        <w:numPr>
          <w:ilvl w:val="0"/>
          <w:numId w:val="2"/>
        </w:numPr>
        <w:spacing w:before="40" w:after="40" w:line="264"/>
        <w:jc w:val="both"/>
      </w:pPr>
      <w:r>
        <w:rPr>
          <w:rFonts w:ascii="Arial" w:cs="Arial" w:eastAsia="Arial" w:hAnsi="Arial"/>
          <w:color w:val="404040"/>
          <w:sz w:val="22"/>
          <w:szCs w:val="22"/>
        </w:rPr>
        <w:t xml:space="preserve">Sembrar en frascos T-75 con DMEM/F-12, SFB 10%, penicilina/estreptomicina 1%, L-glutamina 2 mM, a 37°C, 5% CO₂.</w:t>
      </w:r>
    </w:p>
    <w:p>
      <w:pPr>
        <w:pStyle w:val="ListParagraph"/>
        <w:numPr>
          <w:ilvl w:val="0"/>
          <w:numId w:val="2"/>
        </w:numPr>
        <w:spacing w:before="40" w:after="40" w:line="264"/>
        <w:jc w:val="both"/>
      </w:pPr>
      <w:r>
        <w:rPr>
          <w:rFonts w:ascii="Arial" w:cs="Arial" w:eastAsia="Arial" w:hAnsi="Arial"/>
          <w:color w:val="404040"/>
          <w:sz w:val="22"/>
          <w:szCs w:val="22"/>
        </w:rPr>
        <w:t xml:space="preserve">Caracterizar la pureza celular por inmunofluorescencia (CK-18 &gt; 90%) antes de iniciar experimentos.</w:t>
      </w:r>
    </w:p>
    <w:p>
      <w:pPr>
        <w:pStyle w:val="ListParagraph"/>
        <w:numPr>
          <w:ilvl w:val="0"/>
          <w:numId w:val="2"/>
        </w:numPr>
        <w:spacing w:before="40" w:after="40" w:line="264"/>
        <w:jc w:val="both"/>
      </w:pPr>
      <w:r>
        <w:rPr>
          <w:rFonts w:ascii="Arial" w:cs="Arial" w:eastAsia="Arial" w:hAnsi="Arial"/>
          <w:color w:val="404040"/>
          <w:sz w:val="22"/>
          <w:szCs w:val="22"/>
        </w:rPr>
        <w:t xml:space="preserve">Utilizar células en pasajes 2–4 para garantizar homogeneidad fenotípica.</w:t>
      </w:r>
    </w:p>
    <w:p>
      <w:pPr>
        <w:pStyle w:val="Heading2"/>
        <w:spacing w:before="280" w:after="120"/>
      </w:pPr>
      <w:r>
        <w:rPr>
          <w:rFonts w:ascii="Arial" w:cs="Arial" w:eastAsia="Arial" w:hAnsi="Arial"/>
          <w:b/>
          <w:bCs/>
          <w:color w:val="2E75B6"/>
          <w:sz w:val="26"/>
          <w:szCs w:val="26"/>
        </w:rPr>
        <w:t xml:space="preserve">6.4 Grupos experimentales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
        <w:gridCol w:w="1200"/>
        <w:gridCol w:w="2100"/>
        <w:gridCol w:w="780"/>
        <w:gridCol w:w="3960"/>
      </w:tblGrid>
      <w:tr>
        <w:trPr>
          <w:tblHeader/>
        </w:trPr>
        <w:tc>
          <w:tcPr>
            <w:tcW w:type="dxa" w:w="9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F6F"/>
                <w:sz w:val="20"/>
                <w:szCs w:val="20"/>
              </w:rPr>
              <w:t xml:space="preserve">Grupo</w:t>
            </w:r>
          </w:p>
        </w:tc>
        <w:tc>
          <w:tcPr>
            <w:tcW w:type="dxa" w:w="4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F6F"/>
                <w:sz w:val="20"/>
                <w:szCs w:val="20"/>
              </w:rPr>
              <w:t xml:space="preserve">n</w:t>
            </w:r>
          </w:p>
        </w:tc>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F6F"/>
                <w:sz w:val="20"/>
                <w:szCs w:val="20"/>
              </w:rPr>
              <w:t xml:space="preserve">Estímulo</w:t>
            </w:r>
          </w:p>
        </w:tc>
        <w:tc>
          <w:tcPr>
            <w:tcW w:type="dxa" w:w="2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F6F"/>
                <w:sz w:val="20"/>
                <w:szCs w:val="20"/>
              </w:rPr>
              <w:t xml:space="preserve">Concentraciones / dosis</w:t>
            </w:r>
          </w:p>
        </w:tc>
        <w:tc>
          <w:tcPr>
            <w:tcW w:type="dxa" w:w="7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F6F"/>
                <w:sz w:val="20"/>
                <w:szCs w:val="20"/>
              </w:rPr>
              <w:t xml:space="preserve">Tiempo</w:t>
            </w:r>
          </w:p>
        </w:tc>
        <w:tc>
          <w:tcPr>
            <w:tcW w:type="dxa" w:w="39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F6F"/>
                <w:sz w:val="20"/>
                <w:szCs w:val="20"/>
              </w:rPr>
              <w:t xml:space="preserve">Descripción</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G1 — Control negativo</w:t>
            </w:r>
          </w:p>
        </w:tc>
        <w:tc>
          <w:tcPr>
            <w:tcW w:type="dxa" w:w="4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Ninguno (vehículo PBS)</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 / 48 h</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Células en condiciones estándar. Referencia basal para todos los parámetros.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G2 — H₂O₂ dosis baja</w:t>
            </w:r>
          </w:p>
        </w:tc>
        <w:tc>
          <w:tcPr>
            <w:tcW w:type="dxa" w:w="4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H₂O₂ directo</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50 µM</w:t>
            </w:r>
          </w:p>
        </w:tc>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 / 48 h</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Estrés oxidativo leve / subletal. Punto de inicio de curva dosis-respuesta.</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G3 — H₂O₂ dosis media</w:t>
            </w:r>
          </w:p>
        </w:tc>
        <w:tc>
          <w:tcPr>
            <w:tcW w:type="dxa" w:w="4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H₂O₂ directo</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150 µM</w:t>
            </w:r>
          </w:p>
        </w:tc>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 / 48 h</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Estrés oxidativo moderado. Concentración de referencia para experimentos subsecuentes.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G4 — H₂O₂ dosis alta</w:t>
            </w:r>
          </w:p>
        </w:tc>
        <w:tc>
          <w:tcPr>
            <w:tcW w:type="dxa" w:w="4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H₂O₂ directo</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300 µM</w:t>
            </w:r>
          </w:p>
        </w:tc>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 / 48 h</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Estrés oxidativo severo. Límite superior de la curva dosis-respuesta.</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G5 — Fenton dosis baja</w:t>
            </w:r>
          </w:p>
        </w:tc>
        <w:tc>
          <w:tcPr>
            <w:tcW w:type="dxa" w:w="4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FeSO₄ (10 µM) + H₂O₂ (50 µM)</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Fe:H₂O₂ 1:5</w:t>
            </w:r>
          </w:p>
        </w:tc>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 / 48 h</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Generación de radical •OH. Simula daño oxidativo mediado por hierro libre.</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G6 — Fenton dosis media</w:t>
            </w:r>
          </w:p>
        </w:tc>
        <w:tc>
          <w:tcPr>
            <w:tcW w:type="dxa" w:w="4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FeSO₄ (25 µM) + H₂O₂ (150 µM)</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Fe:H₂O₂ 1:6</w:t>
            </w:r>
          </w:p>
        </w:tc>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 / 48 h</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Reacción de Fenton de intensidad moderada. Punto de referencia del modelo.</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G7 — Fenton dosis alta</w:t>
            </w:r>
          </w:p>
        </w:tc>
        <w:tc>
          <w:tcPr>
            <w:tcW w:type="dxa" w:w="4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FeSO₄ (50 µM) + H₂O₂ (300 µM)</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Fe:H₂O₂ 1:6</w:t>
            </w:r>
          </w:p>
        </w:tc>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 / 48 h</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Daño oxidativo máximo. Evalúa capacidad de senescencia y apoptosis.</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G8 — Control positivo (NAC)</w:t>
            </w:r>
          </w:p>
        </w:tc>
        <w:tc>
          <w:tcPr>
            <w:tcW w:type="dxa" w:w="4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NAC + H₂O₂ 150 µM</w:t>
            </w:r>
          </w:p>
        </w:tc>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NAC 10 mM (1 h pretratamiento)</w:t>
            </w:r>
          </w:p>
        </w:tc>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 / 48 h</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Antioxidante de referencia. Valida reversibilidad del daño y sensibilidad del modelo.</w:t>
            </w:r>
          </w:p>
        </w:tc>
      </w:tr>
    </w:tbl>
    <w:p>
      <w:pPr>
        <w:spacing w:before="40" w:after="40"/>
      </w:pPr>
      <w:r>
        <w:t xml:space="preserve"/>
      </w:r>
    </w:p>
    <w:p>
      <w:pPr>
        <w:spacing w:before="80" w:after="80" w:line="276"/>
        <w:jc w:val="both"/>
      </w:pPr>
      <w:r>
        <w:rPr>
          <w:rFonts w:ascii="Arial" w:cs="Arial" w:eastAsia="Arial" w:hAnsi="Arial"/>
          <w:color w:val="404040"/>
          <w:sz w:val="22"/>
          <w:szCs w:val="22"/>
        </w:rPr>
        <w:t xml:space="preserve">* Todos los experimentos se realizarán con n = 6 pozos independientes por grupo y se repetirán en al menos 3 donantes diferentes (experimentos biológicos independientes). Los datos se expresarán como media ± DE.</w:t>
      </w:r>
    </w:p>
    <w:p>
      <w:pPr>
        <w:pStyle w:val="Heading2"/>
        <w:spacing w:before="280" w:after="120"/>
      </w:pPr>
      <w:r>
        <w:rPr>
          <w:rFonts w:ascii="Arial" w:cs="Arial" w:eastAsia="Arial" w:hAnsi="Arial"/>
          <w:b/>
          <w:bCs/>
          <w:color w:val="2E75B6"/>
          <w:sz w:val="26"/>
          <w:szCs w:val="26"/>
        </w:rPr>
        <w:t xml:space="preserve">6.5 Preparación de los estímulos oxidantes</w:t>
      </w:r>
    </w:p>
    <w:p>
      <w:pPr>
        <w:pStyle w:val="Heading3"/>
        <w:spacing w:before="200" w:after="80"/>
      </w:pPr>
      <w:r>
        <w:rPr>
          <w:rFonts w:ascii="Arial" w:cs="Arial" w:eastAsia="Arial" w:hAnsi="Arial"/>
          <w:b/>
          <w:bCs/>
          <w:color w:val="C00000"/>
          <w:sz w:val="24"/>
          <w:szCs w:val="24"/>
        </w:rPr>
        <w:t xml:space="preserve">Solución de H₂O₂</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Preparar solución stock de H₂O₂ 30% (Fisher Scientific) en PBS libre de pirógenos.</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Determinar la concentración exacta mediante espectrofotometría (ε = 43.6 M⁻¹cm⁻¹ a 240 nm) el día del experimento.</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Preparar diluciones de trabajo en DMEM/F-12 sin SFB inmediatamente antes de la adición a los pozos.</w:t>
      </w:r>
    </w:p>
    <w:p>
      <w:pPr>
        <w:pStyle w:val="Heading3"/>
        <w:spacing w:before="200" w:after="80"/>
      </w:pPr>
      <w:r>
        <w:rPr>
          <w:rFonts w:ascii="Arial" w:cs="Arial" w:eastAsia="Arial" w:hAnsi="Arial"/>
          <w:b/>
          <w:bCs/>
          <w:color w:val="C00000"/>
          <w:sz w:val="24"/>
          <w:szCs w:val="24"/>
        </w:rPr>
        <w:t xml:space="preserve">Sistema Fenton (FeSO₄ + H₂O₂)</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Preparar solución de FeSO₄·7H₂O (Sigma-Aldrich) en agua Milli-Q libre de metales pesados, bajo atmósfera de N₂ para evitar oxidación del Fe²⁺ a Fe³⁺.</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Agregar primero FeSO₄ a los pocillos y, 5 min después, agregar H₂O₂ para iniciar la reacción. Este orden es crítico para maximizar la generación de •OH.</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La generación de •OH puede confirmarse con el ensayo de degradación de 2-desoxirribosa o mediante sonda fluorescente HPF (hidroxifenyl fluoresceína).</w:t>
      </w:r>
    </w:p>
    <w:p>
      <w:pPr>
        <w:pStyle w:val="Heading3"/>
        <w:spacing w:before="200" w:after="80"/>
      </w:pPr>
      <w:r>
        <w:rPr>
          <w:rFonts w:ascii="Arial" w:cs="Arial" w:eastAsia="Arial" w:hAnsi="Arial"/>
          <w:b/>
          <w:bCs/>
          <w:color w:val="C00000"/>
          <w:sz w:val="24"/>
          <w:szCs w:val="24"/>
        </w:rPr>
        <w:t xml:space="preserve">N-acetilcisteína (NAC) — Control antioxidante</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Preparar en PBS, pH 7.4. Concentración de trabajo: 10 mM.</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Pretratamiento: agregar NAC 1 h antes del estímulo oxidante y mantener durante toda la incubación.</w:t>
      </w:r>
    </w:p>
    <w:p>
      <w:pPr>
        <w:pStyle w:val="Heading2"/>
        <w:spacing w:before="280" w:after="120"/>
      </w:pPr>
      <w:r>
        <w:rPr>
          <w:rFonts w:ascii="Arial" w:cs="Arial" w:eastAsia="Arial" w:hAnsi="Arial"/>
          <w:b/>
          <w:bCs/>
          <w:color w:val="2E75B6"/>
          <w:sz w:val="26"/>
          <w:szCs w:val="26"/>
        </w:rPr>
        <w:t xml:space="preserve">6.6 Técnicas de laboratorio y variables de respuesta</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rPr>
          <w:tblHeader/>
        </w:trPr>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F6F"/>
                <w:sz w:val="20"/>
                <w:szCs w:val="20"/>
              </w:rPr>
              <w:t xml:space="preserve">Variable</w:t>
            </w:r>
          </w:p>
        </w:tc>
        <w:tc>
          <w:tcPr>
            <w:tcW w:type="dxa" w:w="2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F6F"/>
                <w:sz w:val="20"/>
                <w:szCs w:val="20"/>
              </w:rPr>
              <w:t xml:space="preserve">Marcador / Ensayo</w:t>
            </w:r>
          </w:p>
        </w:tc>
        <w:tc>
          <w:tcPr>
            <w:tcW w:type="dxa" w:w="2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F6F"/>
                <w:sz w:val="20"/>
                <w:szCs w:val="20"/>
              </w:rPr>
              <w:t xml:space="preserve">Técnica</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F6F"/>
                <w:sz w:val="20"/>
                <w:szCs w:val="20"/>
              </w:rPr>
              <w:t xml:space="preserve">Tiempo de medición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Viabilidad celular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Reducción de formazán</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MTT / MTS (96 pocillos)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 h y 48 h</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Apoptosis / necrosis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Anexina V / Ioduro de propidio</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Citometría de flujo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 h y 48 h</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ROS intracelular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DCF-DA (fluorescencia)</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Lector de microplaca / microscopía confocal</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 6, 24 y 48 h</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Peroxidación lipídica</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MDA (TBARS)</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Colorimetría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 h y 48 h</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Oxidación de proteínas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Proteínas carboniladas</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OxyBlot / ELISA</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 h y 48 h</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Actividad SOD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Inhibición de NBT</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Colorimetría (kit comercial)</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 h y 48 h</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Actividad catalasa</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Consumo de H₂O₂</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Colorimetría / UV 240 nm</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 h y 48 h</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Actividad GPx</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Oxidación de NADPH</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Colorimetría (kit comercial)</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 h y 48 h</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Activación de p38-MAPK</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p-p38 / p38 total</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Western blot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 6, 24 h</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Activación de NF-κB</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p-p65 nuclear</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Western blot / ICC</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 y 24 h</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Senescencia celular</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β-galactosidasa asociada a senescencia (SAβ-gal)</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Tinción histoquímica (pH 6.0)</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48 h</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Citocinas proinflamatorias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IL-6, IL-8, TNF-α</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ELISA en sobrenadante de cultivo</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24 h y 48 h</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Transición epitelio-mesénquima (EMT)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CK-18 (epitelial), Vimentina (mesenquimal)</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Inmunocitoquímica / Western blot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48 h</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6.7 Análisis estadístico</w:t>
      </w:r>
    </w:p>
    <w:p>
      <w:pPr>
        <w:spacing w:before="80" w:after="80" w:line="276"/>
        <w:jc w:val="both"/>
      </w:pPr>
      <w:r>
        <w:rPr>
          <w:rFonts w:ascii="Arial" w:cs="Arial" w:eastAsia="Arial" w:hAnsi="Arial"/>
          <w:color w:val="404040"/>
          <w:sz w:val="22"/>
          <w:szCs w:val="22"/>
        </w:rPr>
        <w:t xml:space="preserve">Los datos continuos con distribución normal (prueba Shapiro-Wilk) se analizarán con ANOVA de una vía con prueba post-hoc de Tukey para comparaciones múltiples entre grupos. Los datos con distribución no paramétrica se analizarán con Kruskal-Wallis y post-hoc de Dunn con corrección de Bonferroni. Para las comparaciones de dos tiempos (24 h vs. 48 h) dentro del mismo grupo se usará prueba t de Student o U de Mann-Whitney según corresponda.</w:t>
      </w:r>
    </w:p>
    <w:p>
      <w:pPr>
        <w:spacing w:before="80" w:after="80" w:line="276"/>
        <w:jc w:val="both"/>
      </w:pPr>
      <w:r>
        <w:rPr>
          <w:rFonts w:ascii="Arial" w:cs="Arial" w:eastAsia="Arial" w:hAnsi="Arial"/>
          <w:color w:val="404040"/>
          <w:sz w:val="22"/>
          <w:szCs w:val="22"/>
        </w:rPr>
        <w:t xml:space="preserve">Se calcularán la IC₅₀ (concentración inhibitoria media) para viabilidad celular mediante regresión no lineal (modelo de dosis-respuesta de 4 parámetros, GraphPad Prism 10) para cada estímulo. El nivel de significancia estadística se establece en p &lt; 0.05. Los resultados se expresarán como media ± DE para n = 6 pozos en ≥3 experimentos independientes.</w:t>
      </w:r>
    </w:p>
    <w:p>
      <w:pPr>
        <w:spacing w:before="40" w:after="40"/>
      </w:pPr>
      <w:r>
        <w:t xml:space="preserve"/>
      </w:r>
    </w:p>
    <w:p>
      <w:pPr>
        <w:pStyle w:val="Heading1"/>
        <w:spacing w:before="400" w:after="160"/>
      </w:pPr>
      <w:r>
        <w:rPr>
          <w:rFonts w:ascii="Arial" w:cs="Arial" w:eastAsia="Arial" w:hAnsi="Arial"/>
          <w:b/>
          <w:bCs/>
          <w:caps/>
          <w:color w:val="1A3F6F"/>
          <w:sz w:val="32"/>
          <w:szCs w:val="32"/>
        </w:rPr>
        <w:t xml:space="preserve">VII. Consideraciones Éticas</w:t>
      </w:r>
    </w:p>
    <w:p>
      <w:pPr>
        <w:spacing w:before="80" w:after="80" w:line="276"/>
        <w:jc w:val="both"/>
      </w:pPr>
      <w:r>
        <w:rPr>
          <w:rFonts w:ascii="Arial" w:cs="Arial" w:eastAsia="Arial" w:hAnsi="Arial"/>
          <w:color w:val="404040"/>
          <w:sz w:val="22"/>
          <w:szCs w:val="22"/>
        </w:rPr>
        <w:t xml:space="preserve">El presente proyecto utiliza tejido humano (membranas fetales) obtenido como material de desecho quirúrgico durante cesáreas electivas de término. Su uso requiere:</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Aprobación del Comité de Ética e Investigación del INPer (Registro en proceso).</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Consentimiento informado específico para uso de tejido perinatal en investigación, firmado por la paciente previo al procedimiento quirúrgico.</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Manejo de muestras conforme a las normas de bioseguridad nivel 2 (NOM-087-ECOL-SSA1-2002 para residuos biológico-infecciosos).</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No se realizarán intervenciones adicionales sobre las pacientes ni se modificará su manejo clínico.</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La identidad de las donantes será protegida mediante códigos alfanuméricos asignados al momento de la captación.</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Los datos serán almacenados en base de datos con acceso restringido al equipo de investigación.</w:t>
      </w:r>
    </w:p>
    <w:p>
      <w:pPr>
        <w:spacing w:before="40" w:after="40"/>
      </w:pPr>
      <w:r>
        <w:t xml:space="preserve"/>
      </w:r>
    </w:p>
    <w:p>
      <w:pPr>
        <w:pStyle w:val="Heading1"/>
        <w:spacing w:before="400" w:after="160"/>
      </w:pPr>
      <w:r>
        <w:rPr>
          <w:rFonts w:ascii="Arial" w:cs="Arial" w:eastAsia="Arial" w:hAnsi="Arial"/>
          <w:b/>
          <w:bCs/>
          <w:caps/>
          <w:color w:val="1A3F6F"/>
          <w:sz w:val="32"/>
          <w:szCs w:val="32"/>
        </w:rPr>
        <w:t xml:space="preserve">VIII. Cronograma de Actividades</w:t>
      </w:r>
    </w:p>
    <w:p>
      <w:pPr>
        <w:spacing w:before="80" w:after="80" w:line="276"/>
        <w:jc w:val="both"/>
      </w:pPr>
      <w:r>
        <w:rPr>
          <w:rFonts w:ascii="Arial" w:cs="Arial" w:eastAsia="Arial" w:hAnsi="Arial"/>
          <w:color w:val="404040"/>
          <w:sz w:val="22"/>
          <w:szCs w:val="22"/>
        </w:rPr>
        <w:t xml:space="preserve">M = Mes. Duración total estimada: 8 meses.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40"/>
        <w:gridCol w:w="840"/>
        <w:gridCol w:w="840"/>
        <w:gridCol w:w="840"/>
        <w:gridCol w:w="840"/>
        <w:gridCol w:w="840"/>
        <w:gridCol w:w="840"/>
        <w:gridCol w:w="840"/>
      </w:tblGrid>
      <w:tr>
        <w:trPr>
          <w:tblHeader/>
        </w:trP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F6F"/>
                <w:sz w:val="20"/>
                <w:szCs w:val="20"/>
              </w:rPr>
              <w:t xml:space="preserve">Actividad</w:t>
            </w:r>
          </w:p>
        </w:tc>
        <w:tc>
          <w:tcPr>
            <w:tcW w:type="dxa" w:w="8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F6F"/>
                <w:sz w:val="20"/>
                <w:szCs w:val="20"/>
              </w:rPr>
              <w:t xml:space="preserve">M1</w:t>
            </w:r>
          </w:p>
        </w:tc>
        <w:tc>
          <w:tcPr>
            <w:tcW w:type="dxa" w:w="8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F6F"/>
                <w:sz w:val="20"/>
                <w:szCs w:val="20"/>
              </w:rPr>
              <w:t xml:space="preserve">M2</w:t>
            </w:r>
          </w:p>
        </w:tc>
        <w:tc>
          <w:tcPr>
            <w:tcW w:type="dxa" w:w="8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F6F"/>
                <w:sz w:val="20"/>
                <w:szCs w:val="20"/>
              </w:rPr>
              <w:t xml:space="preserve">M3</w:t>
            </w:r>
          </w:p>
        </w:tc>
        <w:tc>
          <w:tcPr>
            <w:tcW w:type="dxa" w:w="8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F6F"/>
                <w:sz w:val="20"/>
                <w:szCs w:val="20"/>
              </w:rPr>
              <w:t xml:space="preserve">M4</w:t>
            </w:r>
          </w:p>
        </w:tc>
        <w:tc>
          <w:tcPr>
            <w:tcW w:type="dxa" w:w="8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F6F"/>
                <w:sz w:val="20"/>
                <w:szCs w:val="20"/>
              </w:rPr>
              <w:t xml:space="preserve">M5</w:t>
            </w:r>
          </w:p>
        </w:tc>
        <w:tc>
          <w:tcPr>
            <w:tcW w:type="dxa" w:w="8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F6F"/>
                <w:sz w:val="20"/>
                <w:szCs w:val="20"/>
              </w:rPr>
              <w:t xml:space="preserve">M6</w:t>
            </w:r>
          </w:p>
        </w:tc>
        <w:tc>
          <w:tcPr>
            <w:tcW w:type="dxa" w:w="8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F6F"/>
                <w:sz w:val="20"/>
                <w:szCs w:val="20"/>
              </w:rPr>
              <w:t xml:space="preserve">M7</w:t>
            </w:r>
          </w:p>
        </w:tc>
        <w:tc>
          <w:tcPr>
            <w:tcW w:type="dxa" w:w="8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3F6F"/>
                <w:sz w:val="20"/>
                <w:szCs w:val="20"/>
              </w:rPr>
              <w:t xml:space="preserve">M8</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Revisión bibliográfica y diseño final</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Gestión de biobanco (membranas fetales)</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Aislamiento y caracterización de AEC</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Estandarización de curvas dosis-respuesta (MTT)</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Experimentos G1–G8: ROS, MDA, viabilidad</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Western blot (p38-MAPK, NF-κB, EMT)</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ELISA citocinas, senescencia SAβ-gal</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sz w:val="20"/>
                <w:szCs w:val="20"/>
              </w:rPr>
              <w:t xml:space="preserve">Análisis estadístico y escritura de resultados</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8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bl>
    <w:p>
      <w:pPr>
        <w:spacing w:before="40" w:after="40"/>
      </w:pPr>
      <w:r>
        <w:t xml:space="preserve"/>
      </w:r>
    </w:p>
    <w:p>
      <w:pPr>
        <w:pStyle w:val="Heading1"/>
        <w:spacing w:before="400" w:after="160"/>
      </w:pPr>
      <w:r>
        <w:rPr>
          <w:rFonts w:ascii="Arial" w:cs="Arial" w:eastAsia="Arial" w:hAnsi="Arial"/>
          <w:b/>
          <w:bCs/>
          <w:caps/>
          <w:color w:val="1A3F6F"/>
          <w:sz w:val="32"/>
          <w:szCs w:val="32"/>
        </w:rPr>
        <w:t xml:space="preserve">IX. Recursos Necesarios</w:t>
      </w:r>
    </w:p>
    <w:p>
      <w:pPr>
        <w:pStyle w:val="Heading2"/>
        <w:spacing w:before="280" w:after="120"/>
      </w:pPr>
      <w:r>
        <w:rPr>
          <w:rFonts w:ascii="Arial" w:cs="Arial" w:eastAsia="Arial" w:hAnsi="Arial"/>
          <w:b/>
          <w:bCs/>
          <w:color w:val="2E75B6"/>
          <w:sz w:val="26"/>
          <w:szCs w:val="26"/>
        </w:rPr>
        <w:t xml:space="preserve">9.1 Infraestructura requerida</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Cabina de bioseguridad nivel II y área de cultivo celular estéril.</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Incubadora de CO₂ (37°C, 5% CO₂) para cultivos.</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Citómetro de flujo (para Anexina V/IP y caracterización celular).</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Equipo de Western blot (electroforesis, transferencia y revelado).</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Lector de microplaca con filtros de fluorescencia (DCF-DA) y absorbancia (MTT, TBARS).</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Microscopio de fluorescencia / confocal (para inmunocitoquímica y SAβ-gal).</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Centrífuga refrigerada y ultracentrífuga básica.</w:t>
      </w:r>
    </w:p>
    <w:p>
      <w:pPr>
        <w:pStyle w:val="Heading2"/>
        <w:spacing w:before="280" w:after="120"/>
      </w:pPr>
      <w:r>
        <w:rPr>
          <w:rFonts w:ascii="Arial" w:cs="Arial" w:eastAsia="Arial" w:hAnsi="Arial"/>
          <w:b/>
          <w:bCs/>
          <w:color w:val="2E75B6"/>
          <w:sz w:val="26"/>
          <w:szCs w:val="26"/>
        </w:rPr>
        <w:t xml:space="preserve">9.2 Reactivos clave</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H₂O₂ 30% (grado reactivo analítico, Fisher Scientific).</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FeSO₄·7H₂O (Sigma-Aldrich, libre de metales traza).</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N-acetilcisteína (NAC, Sigma-Aldrich).</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Kit DCF-DA (DCFH-DA, Sigma D6883) o equivalente Invitrogen.</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Kit TBARS / MDA (Cayman Chemical o BioAssay Systems).</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Kit OxyBlot para proteínas carboniladas (Millipore S7150).</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Kits de actividad enzimática: SOD (Cayman 706002), Catalasa (Cayman 707002), GPx (Cayman 703102).</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Anticuerpos primarios: p-p38 (Cell Signaling #4511), p38 total (Cell Signaling #8690), p-p65 (Cell Signaling #3033), CK-18 (Abcam ab668), Vimentina (Abcam ab92547), p19Arf.</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Kits ELISA: IL-6, IL-8, TNF-α (R&amp;D Systems o BioLegend).</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Kit de senescencia SAβ-gal (Cell Signaling #9860).</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Kit Anexina V/IP para citometría (BioLegend o BD Pharmingen).</w:t>
      </w:r>
    </w:p>
    <w:p>
      <w:pPr>
        <w:spacing w:before="40" w:after="40"/>
      </w:pPr>
      <w:r>
        <w:t xml:space="preserve"/>
      </w:r>
    </w:p>
    <w:p>
      <w:pPr>
        <w:pStyle w:val="Heading1"/>
        <w:spacing w:before="400" w:after="160"/>
      </w:pPr>
      <w:r>
        <w:rPr>
          <w:rFonts w:ascii="Arial" w:cs="Arial" w:eastAsia="Arial" w:hAnsi="Arial"/>
          <w:b/>
          <w:bCs/>
          <w:caps/>
          <w:color w:val="1A3F6F"/>
          <w:sz w:val="32"/>
          <w:szCs w:val="32"/>
        </w:rPr>
        <w:t xml:space="preserve">X. Resultados Esperados e Impacto</w:t>
      </w:r>
    </w:p>
    <w:p>
      <w:pPr>
        <w:pStyle w:val="Heading2"/>
        <w:spacing w:before="280" w:after="120"/>
      </w:pPr>
      <w:r>
        <w:rPr>
          <w:rFonts w:ascii="Arial" w:cs="Arial" w:eastAsia="Arial" w:hAnsi="Arial"/>
          <w:b/>
          <w:bCs/>
          <w:color w:val="2E75B6"/>
          <w:sz w:val="26"/>
          <w:szCs w:val="26"/>
        </w:rPr>
        <w:t xml:space="preserve">10.1 Resultados esperados</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Curvas dosis-respuesta de viabilidad (MTT) para H₂O₂ y Fenton, con determinación de IC₅₀ para ambos modelos a 24 y 48 h.</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Demostración de incremento dosis-dependiente de ROS (DCF-DA), MDA y proteínas carboniladas, con mayor magnitud en el sistema Fenton en comparación con H₂O₂ solo a concentraciones equimolares.</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Activación de p-p38-MAPK con cinética temporal definida (pico a 3–6 h post-estimulación), correlacionada con los niveles de ROS.</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Inducción de senescencia (SAβ-gal⁺) y cambios en el cociente CK-18/Vimentina compatibles con EMT a 48 h en los grupos de daño moderado-alto.</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Reducción significativa de todos los parámetros anteriores en el grupo G8 (NAC), validando el modelo y confirmando el origen oxidativo del daño.</w:t>
      </w:r>
    </w:p>
    <w:p>
      <w:pPr>
        <w:pStyle w:val="ListParagraph"/>
        <w:numPr>
          <w:ilvl w:val="0"/>
          <w:numId w:val="3"/>
        </w:numPr>
        <w:spacing w:before="40" w:after="40" w:line="264"/>
        <w:jc w:val="both"/>
      </w:pPr>
      <w:r>
        <w:rPr>
          <w:rFonts w:ascii="Arial" w:cs="Arial" w:eastAsia="Arial" w:hAnsi="Arial"/>
          <w:b w:val="false"/>
          <w:bCs w:val="false"/>
          <w:color w:val="404040"/>
          <w:sz w:val="22"/>
          <w:szCs w:val="22"/>
        </w:rPr>
        <w:t xml:space="preserve">Definición de la concentración de trabajo estándar para proyectos 2, 3 y 4: dosis que genera daño oxidativo moderado (↑ROS + p38 activo + viabilidad &gt;70%).</w:t>
      </w:r>
    </w:p>
    <w:p>
      <w:pPr>
        <w:pStyle w:val="Heading2"/>
        <w:spacing w:before="280" w:after="120"/>
      </w:pPr>
      <w:r>
        <w:rPr>
          <w:rFonts w:ascii="Arial" w:cs="Arial" w:eastAsia="Arial" w:hAnsi="Arial"/>
          <w:b/>
          <w:bCs/>
          <w:color w:val="2E75B6"/>
          <w:sz w:val="26"/>
          <w:szCs w:val="26"/>
        </w:rPr>
        <w:t xml:space="preserve">10.2 Impacto y vinculación con proyectos subsecuentes</w:t>
      </w:r>
    </w:p>
    <w:p>
      <w:pPr>
        <w:spacing w:before="80" w:after="80" w:line="276"/>
        <w:jc w:val="both"/>
      </w:pPr>
      <w:r>
        <w:rPr>
          <w:rFonts w:ascii="Arial" w:cs="Arial" w:eastAsia="Arial" w:hAnsi="Arial"/>
          <w:color w:val="404040"/>
          <w:sz w:val="22"/>
          <w:szCs w:val="22"/>
        </w:rPr>
        <w:t xml:space="preserve">Los modelos validados en este proyecto serán la base técnica del Proyecto 2 (comparación con suero de madres obesas), el Proyecto 3 (caracterización de Nrf2) y el Proyecto 4 (intervención con leche humana). Adicionalmente, los datos de EMT y senescencia en AEC tienen valor científico independiente, con potencial de publicación como artículo metodológico en revistas como Placenta, American Journal of Obstetrics &amp; Gynecology o Free Radical Biology and Medicine.</w:t>
      </w:r>
    </w:p>
    <w:p>
      <w:pPr>
        <w:spacing w:before="40" w:after="40"/>
      </w:pPr>
      <w:r>
        <w:t xml:space="preserve"/>
      </w:r>
    </w:p>
    <w:p>
      <w:pPr>
        <w:pBdr>
          <w:bottom w:val="single" w:color="2E75B6" w:sz="6" w:space="2"/>
        </w:pBdr>
        <w:spacing w:before="200" w:after="200"/>
      </w:pPr>
    </w:p>
    <w:p>
      <w:pPr>
        <w:pStyle w:val="Heading1"/>
        <w:spacing w:before="400" w:after="160"/>
      </w:pPr>
      <w:r>
        <w:rPr>
          <w:rFonts w:ascii="Arial" w:cs="Arial" w:eastAsia="Arial" w:hAnsi="Arial"/>
          <w:b/>
          <w:bCs/>
          <w:caps/>
          <w:color w:val="1A3F6F"/>
          <w:sz w:val="32"/>
          <w:szCs w:val="32"/>
        </w:rPr>
        <w:t xml:space="preserve">XI. Referencias</w:t>
      </w:r>
    </w:p>
    <w:p>
      <w:pPr>
        <w:spacing w:before="80" w:after="80" w:line="276"/>
        <w:jc w:val="both"/>
      </w:pPr>
      <w:r>
        <w:rPr>
          <w:rFonts w:ascii="Arial" w:cs="Arial" w:eastAsia="Arial" w:hAnsi="Arial"/>
          <w:color w:val="404040"/>
          <w:sz w:val="20"/>
          <w:szCs w:val="20"/>
        </w:rPr>
        <w:t xml:space="preserve">Jiang Y, et al. (2020). NF-κB and MAPK signaling pathways in H₂O₂-induced inflammatory response in intestinal epithelial cells. Front. Cell. Infect. Microbiol.</w:t>
      </w:r>
    </w:p>
    <w:p>
      <w:pPr>
        <w:spacing w:before="80" w:after="80" w:line="276"/>
        <w:jc w:val="both"/>
      </w:pPr>
      <w:r>
        <w:rPr>
          <w:rFonts w:ascii="Arial" w:cs="Arial" w:eastAsia="Arial" w:hAnsi="Arial"/>
          <w:color w:val="404040"/>
          <w:sz w:val="20"/>
          <w:szCs w:val="20"/>
        </w:rPr>
        <w:t xml:space="preserve">Menon R, Boldogh I, Urrabaz-Garza R, et al. (2013). Senescence of primary amniotic cells via oxidative DNA damage. PLoS ONE, 8(12), e83416. doi:10.1371/journal.pone.0083416</w:t>
      </w:r>
    </w:p>
    <w:p>
      <w:pPr>
        <w:spacing w:before="80" w:after="80" w:line="276"/>
        <w:jc w:val="both"/>
      </w:pPr>
      <w:r>
        <w:rPr>
          <w:rFonts w:ascii="Arial" w:cs="Arial" w:eastAsia="Arial" w:hAnsi="Arial"/>
          <w:color w:val="404040"/>
          <w:sz w:val="20"/>
          <w:szCs w:val="20"/>
        </w:rPr>
        <w:t xml:space="preserve">Menon R, Radnaa E, Behnia F, Urrabaz-Garza R. (2020). Isolation and characterization of human chorion membrane trophoblast and mesenchymal cells. Placenta, 101, 139–146. doi:10.1016/j.placenta.2020.09.017</w:t>
      </w:r>
    </w:p>
    <w:p>
      <w:pPr>
        <w:spacing w:before="80" w:after="80" w:line="276"/>
        <w:jc w:val="both"/>
      </w:pPr>
      <w:r>
        <w:rPr>
          <w:rFonts w:ascii="Arial" w:cs="Arial" w:eastAsia="Arial" w:hAnsi="Arial"/>
          <w:color w:val="404040"/>
          <w:sz w:val="20"/>
          <w:szCs w:val="20"/>
        </w:rPr>
        <w:t xml:space="preserve">Richardson L, Gnecco J, Wig L, et al. (2022). Stress signaler p38 MAPK activation: a cause for concern? Frontiers in Cell and Developmental Biology, 10. PMID:36250628. doi:10.3389/fcell.2022.999535</w:t>
      </w:r>
    </w:p>
    <w:p>
      <w:pPr>
        <w:spacing w:before="80" w:after="80" w:line="276"/>
        <w:jc w:val="both"/>
      </w:pPr>
      <w:r>
        <w:rPr>
          <w:rFonts w:ascii="Arial" w:cs="Arial" w:eastAsia="Arial" w:hAnsi="Arial"/>
          <w:color w:val="404040"/>
          <w:sz w:val="20"/>
          <w:szCs w:val="20"/>
        </w:rPr>
        <w:t xml:space="preserve">Sheller S, Papaconstantinou J, Urrabaz-Garza R, et al. (2016). Amnion-epithelial-cell-derived exosomes demonstrate physiologic state of cell under oxidative stress. PLoS ONE, 11(6), e0157614. doi:10.1371/journal.pone.0157614</w:t>
      </w:r>
    </w:p>
    <w:p>
      <w:pPr>
        <w:spacing w:before="80" w:after="80" w:line="276"/>
        <w:jc w:val="both"/>
      </w:pPr>
      <w:r>
        <w:rPr>
          <w:rFonts w:ascii="Arial" w:cs="Arial" w:eastAsia="Arial" w:hAnsi="Arial"/>
          <w:color w:val="404040"/>
          <w:sz w:val="20"/>
          <w:szCs w:val="20"/>
        </w:rPr>
        <w:t xml:space="preserve">Truong N, Menon R, Richardson L. (2023). The role of fetal membranes during gestation, at term, and preterm labor. Placenta and Reproductive Medicine, 2(1), 4. doi:10.54844/prm.2022.0296</w:t>
      </w:r>
    </w:p>
    <w:p>
      <w:pPr>
        <w:spacing w:before="80" w:after="80" w:line="276"/>
        <w:jc w:val="both"/>
      </w:pPr>
      <w:r>
        <w:rPr>
          <w:rFonts w:ascii="Arial" w:cs="Arial" w:eastAsia="Arial" w:hAnsi="Arial"/>
          <w:color w:val="404040"/>
          <w:sz w:val="20"/>
          <w:szCs w:val="20"/>
        </w:rPr>
        <w:t xml:space="preserve">Wang X, et al. (2024). Roles of MAPK and Nrf2 signaling pathways in quercetin alleviating redox imbalance induced by hydrogen peroxide in mammary epithelial cells. Animal Nutriomics. doi:10.1017/anm.2024.2</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20"/>
    </w:pPr>
    <w:r>
      <w:rPr>
        <w:rFonts w:ascii="Arial" w:cs="Arial" w:eastAsia="Arial" w:hAnsi="Arial"/>
        <w:i/>
        <w:iCs/>
        <w:color w:val="404040"/>
        <w:sz w:val="18"/>
        <w:szCs w:val="18"/>
      </w:rPr>
      <w:t xml:space="preserve">Modelos de estrés oxidativo en células epiteliales de amnion humano</w:t>
    </w:r>
    <w:r>
      <w:rPr>
        <w:rFonts w:ascii="Arial" w:cs="Arial" w:eastAsia="Arial" w:hAnsi="Arial"/>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before="0" w:after="120"/>
    </w:pPr>
    <w:r>
      <w:rPr>
        <w:rFonts w:ascii="Arial" w:cs="Arial" w:eastAsia="Arial" w:hAnsi="Arial"/>
        <w:b/>
        <w:bCs/>
        <w:color w:val="2E75B6"/>
        <w:sz w:val="18"/>
        <w:szCs w:val="18"/>
      </w:rPr>
      <w:t xml:space="preserve">PROTOCOLO DE INVESTIGACIÓN | Proyecto 1</w:t>
    </w:r>
    <w:r>
      <w:rPr>
        <w:rFonts w:ascii="Arial" w:cs="Arial" w:eastAsia="Arial" w:hAnsi="Arial"/>
        <w:i/>
        <w:iCs/>
        <w:color w:val="404040"/>
        <w:sz w:val="18"/>
        <w:szCs w:val="18"/>
      </w:rPr>
      <w:t xml:space="preserve">	INPer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aps/>
      <w:color w:val="1A3F6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2026-03-29T20:03:28.587Z</dcterms:created>
  <dcterms:modified xsi:type="dcterms:W3CDTF">2026-03-29T20:03:28.588Z</dcterms:modified>
</cp:coreProperties>
</file>

<file path=docProps/custom.xml><?xml version="1.0" encoding="utf-8"?>
<Properties xmlns="http://schemas.openxmlformats.org/officeDocument/2006/custom-properties" xmlns:vt="http://schemas.openxmlformats.org/officeDocument/2006/docPropsVTypes"/>
</file>