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788"/>
          <w:sz w:val="40"/>
          <w:szCs w:val="40"/>
        </w:rPr>
        <w:t xml:space="preserve">REVISIÓN DE LITERATURA</w:t>
      </w:r>
    </w:p>
    <w:p>
      <w:pPr>
        <w:spacing w:before="60" w:after="60"/>
        <w:jc w:val="center"/>
      </w:pPr>
      <w:r>
        <w:rPr>
          <w:rFonts w:ascii="Arial" w:cs="Arial" w:eastAsia="Arial" w:hAnsi="Arial"/>
          <w:b/>
          <w:bCs/>
          <w:color w:val="2E75B6"/>
          <w:sz w:val="30"/>
          <w:szCs w:val="30"/>
        </w:rPr>
        <w:t xml:space="preserve">Estrés Oxidativo e Inflamación en Membranas Fetales:</w:t>
      </w:r>
    </w:p>
    <w:p>
      <w:pPr>
        <w:spacing w:before="40" w:after="40"/>
        <w:jc w:val="center"/>
      </w:pPr>
      <w:r>
        <w:rPr>
          <w:rFonts w:ascii="Arial" w:cs="Arial" w:eastAsia="Arial" w:hAnsi="Arial"/>
          <w:color w:val="2E75B6"/>
          <w:sz w:val="26"/>
          <w:szCs w:val="26"/>
        </w:rPr>
        <w:t xml:space="preserve">Influencia del Suero de Madres con Obesidad y el Potencial Protector de la Leche Humana vía Nrf2</w:t>
      </w:r>
    </w:p>
    <w:p>
      <w:pPr>
        <w:pBdr>
          <w:top w:val="single" w:color="2E75B6" w:sz="6" w:space="4"/>
          <w:bottom w:val="single" w:color="2E75B6" w:sz="6" w:space="4"/>
        </w:pBdr>
        <w:spacing w:before="160" w:after="60"/>
        <w:jc w:val="center"/>
      </w:pPr>
      <w:r>
        <w:rPr>
          <w:rFonts w:ascii="Arial" w:cs="Arial" w:eastAsia="Arial" w:hAnsi="Arial"/>
          <w:color w:val="555555"/>
          <w:sz w:val="20"/>
          <w:szCs w:val="20"/>
        </w:rPr>
        <w:t xml:space="preserve">Revisión preparatoria para proyecto experimental  </w:t>
      </w:r>
      <w:r>
        <w:rPr>
          <w:rFonts w:ascii="Arial" w:cs="Arial" w:eastAsia="Arial" w:hAnsi="Arial"/>
          <w:color w:val="2E75B6"/>
          <w:sz w:val="20"/>
          <w:szCs w:val="20"/>
        </w:rPr>
        <w:t xml:space="preserve">  |  </w:t>
      </w:r>
      <w:r>
        <w:rPr>
          <w:rFonts w:ascii="Arial" w:cs="Arial" w:eastAsia="Arial" w:hAnsi="Arial"/>
          <w:color w:val="555555"/>
          <w:sz w:val="20"/>
          <w:szCs w:val="20"/>
        </w:rPr>
        <w:t xml:space="preserve">  INPer · 2025</w:t>
      </w:r>
    </w:p>
    <w:p>
      <w:pPr>
        <w:spacing w:before="60" w:after="60"/>
      </w:pPr>
      <w:r>
        <w:t xml:space="preserve"/>
      </w:r>
    </w:p>
    <w:p>
      <w:pPr>
        <w:pBdr>
          <w:bottom w:val="single" w:color="2E75B6" w:sz="4" w:space="1"/>
        </w:pBdr>
        <w:spacing w:before="160" w:after="160"/>
      </w:pPr>
    </w:p>
    <w:p>
      <w:pPr>
        <w:spacing w:before="60" w:after="60"/>
      </w:pPr>
      <w:r>
        <w:t xml:space="preserve"/>
      </w:r>
    </w:p>
    <w:p>
      <w:pPr>
        <w:pStyle w:val="Heading1"/>
        <w:spacing w:before="360" w:after="160"/>
      </w:pPr>
      <w:r>
        <w:rPr>
          <w:rFonts w:ascii="Arial" w:cs="Arial" w:eastAsia="Arial" w:hAnsi="Arial"/>
          <w:b/>
          <w:bCs/>
          <w:color w:val="1F4788"/>
          <w:sz w:val="30"/>
          <w:szCs w:val="30"/>
        </w:rPr>
        <w:t xml:space="preserve">1. Introducción y Planteamiento del Problema</w:t>
      </w:r>
    </w:p>
    <w:p>
      <w:pPr>
        <w:spacing w:before="80" w:after="80" w:line="276"/>
        <w:jc w:val="both"/>
      </w:pPr>
      <w:r>
        <w:rPr>
          <w:rFonts w:ascii="Arial" w:cs="Arial" w:eastAsia="Arial" w:hAnsi="Arial"/>
          <w:sz w:val="22"/>
          <w:szCs w:val="22"/>
        </w:rPr>
        <w:t xml:space="preserve">La obesidad durante el embarazo representa uno de los desafíos obstétricos más relevantes de la actualidad. Aproximadamente el 25–30% de las mujeres en edad reproductiva presentan sobrepeso u obesidad al momento de la concepción, lo que crea un ambiente intrauterino caracterizado por inflamación crónica de bajo grado y estrés oxidativo elevado (Monaco-Brown y Lawrence, 2022). Este microambiente alterado puede comprometer la integridad y función de las membranas fetales, estructuras críticas para la homeostasis del espacio intrauterino.</w:t>
      </w:r>
    </w:p>
    <w:p>
      <w:pPr>
        <w:spacing w:before="80" w:after="80" w:line="276"/>
        <w:jc w:val="both"/>
      </w:pPr>
      <w:r>
        <w:rPr>
          <w:rFonts w:ascii="Arial" w:cs="Arial" w:eastAsia="Arial" w:hAnsi="Arial"/>
          <w:sz w:val="22"/>
          <w:szCs w:val="22"/>
        </w:rPr>
        <w:t xml:space="preserve">El proyecto experimental objeto de esta revisión busca exponer cultivos celulares de membranas fetales a suero de madres con obesidad, estudiar los marcadores de inflamación y estrés oxidativo resultantes, y evaluar el efecto modulador del suero de leche humana sobre la vía de respuesta antioxidante Nrf2. Adicionalmente, se emplearán estímulos directos de daño oxidativo —hipoxia, reacción de Fenton y peróxido de hidrógeno— como grupos de arranque para caracterizar la respuesta celular basal. Esta revisión sintetiza el estado del arte en cuatro bloques temáticos: (1) biología de las membranas fetales, (2) obesidad materna y estrés oxidativo-inflamatorio, (3) modelos in vitro de daño oxidativo, y (4) la vía Nrf2 y su modulación por componentes de la leche humana.</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2. Membranas Fetales: Biología Básica y Cultivo Celular</w:t>
      </w:r>
    </w:p>
    <w:p>
      <w:pPr>
        <w:pStyle w:val="Heading2"/>
        <w:spacing w:before="280" w:after="120"/>
      </w:pPr>
      <w:r>
        <w:rPr>
          <w:rFonts w:ascii="Arial" w:cs="Arial" w:eastAsia="Arial" w:hAnsi="Arial"/>
          <w:b/>
          <w:bCs/>
          <w:color w:val="2E75B6"/>
          <w:sz w:val="26"/>
          <w:szCs w:val="26"/>
        </w:rPr>
        <w:t xml:space="preserve">2.1 Arquitectura y función de las membranas fetales</w:t>
      </w:r>
    </w:p>
    <w:p>
      <w:pPr>
        <w:spacing w:before="80" w:after="80" w:line="276"/>
        <w:jc w:val="both"/>
      </w:pPr>
      <w:r>
        <w:rPr>
          <w:rFonts w:ascii="Arial" w:cs="Arial" w:eastAsia="Arial" w:hAnsi="Arial"/>
          <w:sz w:val="22"/>
          <w:szCs w:val="22"/>
        </w:rPr>
        <w:t xml:space="preserve">Las membranas fetales (amniocorion) rodean la cavidad intrauterina y constituyen una interfaz feto-materna fundamental durante toda la gestación. Se componen de dos capas principales: el amnion y el corion, cada una con tipos celulares distintos y funciones complementarias. Durante la gestación, es crítico que las propiedades mecánicas, inmunitarias e inflamatorias de estas membranas se mantengan en homeostasis para permitir la progresión normal del embarazo (Truong et al., 2023).</w:t>
      </w:r>
    </w:p>
    <w:p>
      <w:pPr>
        <w:spacing w:before="80" w:after="80" w:line="276"/>
        <w:jc w:val="both"/>
      </w:pPr>
      <w:r>
        <w:rPr>
          <w:rFonts w:ascii="Arial" w:cs="Arial" w:eastAsia="Arial" w:hAnsi="Arial"/>
          <w:sz w:val="22"/>
          <w:szCs w:val="22"/>
        </w:rPr>
        <w:t xml:space="preserve">El amnion </w:t>
      </w:r>
      <w:r>
        <w:rPr>
          <w:rFonts w:ascii="Arial" w:cs="Arial" w:eastAsia="Arial" w:hAnsi="Arial"/>
          <w:sz w:val="22"/>
          <w:szCs w:val="22"/>
        </w:rPr>
        <w:t xml:space="preserve">aporta la función de barrera mecánica mediante: (1) soporte al crecimiento fetal y la carga de líquido amniótico, (2) resistencia a la deformación mecánica, (3) preservación de la capa epitelial íntegra, (4) respuesta a insultos locales como infección o especies reactivas de oxígeno (ROS), y (5) remodelación del colágeno para mantener la homeostasis de la matriz extracelular. El </w:t>
      </w:r>
      <w:r>
        <w:rPr>
          <w:rFonts w:ascii="Arial" w:cs="Arial" w:eastAsia="Arial" w:hAnsi="Arial"/>
          <w:b/>
          <w:bCs/>
          <w:sz w:val="22"/>
          <w:szCs w:val="22"/>
        </w:rPr>
        <w:t xml:space="preserve">corion</w:t>
      </w:r>
      <w:r>
        <w:rPr>
          <w:rFonts w:ascii="Arial" w:cs="Arial" w:eastAsia="Arial" w:hAnsi="Arial"/>
          <w:sz w:val="22"/>
          <w:szCs w:val="22"/>
        </w:rPr>
        <w:t xml:space="preserve">, por su parte, es responsable de modular el microambiente inmune en la interfaz coriodecidual, secretando hormonas y citocinas antiinflamatorias, y expresando el antígeno leucocitario humano G (HLA-G) para proporcionar tolerancia inmune en la interfaz feto-materna (Truong et al., 2023).</w:t>
      </w:r>
    </w:p>
    <w:p>
      <w:pPr>
        <w:spacing w:before="80" w:after="80" w:line="276"/>
        <w:jc w:val="both"/>
      </w:pPr>
      <w:r>
        <w:rPr>
          <w:rFonts w:ascii="Arial" w:cs="Arial" w:eastAsia="Arial" w:hAnsi="Arial"/>
          <w:sz w:val="22"/>
          <w:szCs w:val="22"/>
        </w:rPr>
        <w:t xml:space="preserve">Desde el punto de vista celular, la capa amniótica contiene células epiteliales (AEC) y mesenquimales (AMC) en una proporción aproximada de 10:1 durante la gestación normal. Esta proporción se invierte al término del trabajo de parto, favoreciendo las células mesenquimales proinflamatorias para potenciar la ruptura de membranas y el inicio del parto (Menon et al., 2018). El corion, a su vez, presenta células trofoblásticas (CTC) y mesenquimales (CMC), ambas involucradas en la senescencia celular y la respuesta al estrés oxidativo.</w:t>
      </w:r>
    </w:p>
    <w:p>
      <w:pPr>
        <w:spacing w:before="80" w:after="80" w:line="276"/>
        <w:jc w:val="both"/>
      </w:pPr>
      <w:r>
        <w:rPr>
          <w:rFonts w:ascii="Arial" w:cs="Arial" w:eastAsia="Arial" w:hAnsi="Arial"/>
          <w:sz w:val="22"/>
          <w:szCs w:val="22"/>
        </w:rPr>
        <w:t xml:space="preserve">Las membranas fetales también contribuyen a mantener la homeostasis inflamatoria del espacio intrauterino produciendo citocinas antiinflamatorias y degradando radicales libres de oxígeno que pudieran comprometer al feto (Truong et al., 2023). Cuando este equilibrio se altera —por infección, estrés oxidativo o condiciones maternas como la obesidad— se incrementa el riesgo de ruptura prematura de membranas y parto pretérmino.</w:t>
      </w:r>
    </w:p>
    <w:p>
      <w:pPr>
        <w:pStyle w:val="Heading2"/>
        <w:spacing w:before="280" w:after="120"/>
      </w:pPr>
      <w:r>
        <w:rPr>
          <w:rFonts w:ascii="Arial" w:cs="Arial" w:eastAsia="Arial" w:hAnsi="Arial"/>
          <w:b/>
          <w:bCs/>
          <w:color w:val="2E75B6"/>
          <w:sz w:val="26"/>
          <w:szCs w:val="26"/>
        </w:rPr>
        <w:t xml:space="preserve">2.2 Protocolos de aislamiento y cultivo</w:t>
      </w:r>
    </w:p>
    <w:p>
      <w:pPr>
        <w:spacing w:before="80" w:after="80" w:line="276"/>
        <w:jc w:val="both"/>
      </w:pPr>
      <w:r>
        <w:rPr>
          <w:rFonts w:ascii="Arial" w:cs="Arial" w:eastAsia="Arial" w:hAnsi="Arial"/>
          <w:sz w:val="22"/>
          <w:szCs w:val="22"/>
        </w:rPr>
        <w:t xml:space="preserve">El desarrollo de protocolos de cultivo celular específicos para las distintas poblaciones celulares de las membranas fetales ha sido fundamental para avanzar en la comprensión de su biología. Menon et al. (2020) describieron un protocolo de aislamiento y cultivo de células trofoblásticas del corion (CTC) y células mesenquimales del corion (CMC) a partir de membranas fetales a término, logrando purezas superiores al 90% para CTC y del 100% para CMC, verificadas mediante marcadores específicos: citoqueratina-7 (CK-7) para células epiteliales/trofoblásticas y vimentina para células mesenquimales.</w:t>
      </w:r>
    </w:p>
    <w:p>
      <w:pPr>
        <w:spacing w:before="80" w:after="80" w:line="276"/>
        <w:jc w:val="both"/>
      </w:pPr>
      <w:r>
        <w:rPr>
          <w:rFonts w:ascii="Arial" w:cs="Arial" w:eastAsia="Arial" w:hAnsi="Arial"/>
          <w:sz w:val="22"/>
          <w:szCs w:val="22"/>
        </w:rPr>
        <w:t xml:space="preserve">Un hallazgo relevante de este trabajo fue que las CMC son notoriamente más sensibles al estrés oxidativo que las CTC, aunque ambas activan la vía de señalización p38-MAPK en respuesta a ROS. El extracto de humo de cigarro (CSE) fue empleado como estímulo oxidante, cuantificando la producción de ROS mediante el ensayo de 2',7'-diclorodihidrofluoresceína (DCF-DA), la activación de p38-MAPK por Western blot y la senescencia por citometría de flujo. El cotratamiento con el antioxidante N-acetilcisteína (NAC), sola o combinada con el inhibidor de p38-MAPK SB203580, redujo el estrés oxidativo y la senescencia en ambos tipos celulares (Menon et al., 2020).</w:t>
      </w:r>
    </w:p>
    <w:p>
      <w:pPr>
        <w:spacing w:before="80" w:after="80" w:line="276"/>
        <w:jc w:val="both"/>
      </w:pPr>
      <w:r>
        <w:rPr>
          <w:rFonts w:ascii="Arial" w:cs="Arial" w:eastAsia="Arial" w:hAnsi="Arial"/>
          <w:sz w:val="22"/>
          <w:szCs w:val="22"/>
        </w:rPr>
        <w:t xml:space="preserve">Es importante considerar que el estrés oxidativo puede impactar de forma diferencial la integridad de las membranas fetales. Se ha demostrado que la actividad de enzimas antioxidantes como la glutatión peroxidasa (GPx) y la superóxido dismutasa (SOD) es menor en el amnion supracervical comparado con regiones distales, lo que lo hace más susceptible al daño oxidativo y a la ruptura (Longini et al., 2012). La 8-isoprostana, marcador de peroxidación lipídica, se eleva significativamente en las membranas post-trabajo de parto en comparación con cesáreas sin labor.</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3. Obesidad Materna: Inflamación y Estrés Oxidativo</w:t>
      </w:r>
    </w:p>
    <w:p>
      <w:pPr>
        <w:pStyle w:val="Heading2"/>
        <w:spacing w:before="280" w:after="120"/>
      </w:pPr>
      <w:r>
        <w:rPr>
          <w:rFonts w:ascii="Arial" w:cs="Arial" w:eastAsia="Arial" w:hAnsi="Arial"/>
          <w:b/>
          <w:bCs/>
          <w:color w:val="2E75B6"/>
          <w:sz w:val="26"/>
          <w:szCs w:val="26"/>
        </w:rPr>
        <w:t xml:space="preserve">3.1 Ambiente inflamatorio-oxidativo asociado a la obesidad</w:t>
      </w:r>
    </w:p>
    <w:p>
      <w:pPr>
        <w:spacing w:before="80" w:after="80" w:line="276"/>
        <w:jc w:val="both"/>
      </w:pPr>
      <w:r>
        <w:rPr>
          <w:rFonts w:ascii="Arial" w:cs="Arial" w:eastAsia="Arial" w:hAnsi="Arial"/>
          <w:sz w:val="22"/>
          <w:szCs w:val="22"/>
        </w:rPr>
        <w:t xml:space="preserve">La obesidad es un estado de inflamación crónica de bajo grado —denominado metainflamación— que impacta profundamente el ambiente intrauterino durante el embarazo. La acumulación excesiva de tejido adiposo genera un incremento en la producción de adipocinas proinflamatorias, activación de receptores tipo Toll (TLR) y reclutamiento de macrófagos hacia la placenta (Monaco-Brown y Lawrence, 2022). Esta cascada inflamatoria conduce simultáneamente al incremento del estrés oxidativo, creando un ciclo de retroalimentación positiva: la inflamación induce la producción de ROS, y los ROS a su vez activan vías inflamatorias como NF-κB (Arroyo-Jousse et al., 2024).</w:t>
      </w:r>
    </w:p>
    <w:p>
      <w:pPr>
        <w:spacing w:before="80" w:after="80" w:line="276"/>
        <w:jc w:val="both"/>
      </w:pPr>
      <w:r>
        <w:rPr>
          <w:rFonts w:ascii="Arial" w:cs="Arial" w:eastAsia="Arial" w:hAnsi="Arial"/>
          <w:sz w:val="22"/>
          <w:szCs w:val="22"/>
        </w:rPr>
        <w:t xml:space="preserve">La evidencia clínica muestra que madres con sobrepeso u obesidad presentan concentraciones elevadas de interleucina-6 (IL-6) y factor de necrosis tumoral alfa (TNF-α) en circulación durante el tercer trimestre, en comparación con mujeres de peso normal (Candia et al., 2024). Este perfil inflamatorio sistémico se refleja en el compartimento fetal: estudios en sangre de cordón umbilical demuestran que la IL-6 está aumentada en neonatos de madres obesas, aunque con variaciones dependientes del sexo fetal.</w:t>
      </w:r>
    </w:p>
    <w:p>
      <w:pPr>
        <w:spacing w:before="80" w:after="80" w:line="276"/>
        <w:jc w:val="both"/>
      </w:pPr>
      <w:r>
        <w:rPr>
          <w:rFonts w:ascii="Arial" w:cs="Arial" w:eastAsia="Arial" w:hAnsi="Arial"/>
          <w:sz w:val="22"/>
          <w:szCs w:val="22"/>
        </w:rPr>
        <w:t xml:space="preserve">Desde el punto de vista oxidativo, la obesidad materna se asocia con aumento de marcadores de peroxidación lipídica (MDA, 4-HNE), proteínas carboniladas y nitrotirosina en placenta, junto con una respuesta compensatoria de enzimas antioxidantes (SOD, GPx, catalasa) que puede resultar insuficiente ante la magnitud del daño. La activación de la vía p38-MAPK es un mediador clave en esta respuesta, conectando el estrés oxidativo con la senescencia celular y la activación inflamatoria (Candia et al., 2024). De particular relevancia para el proyecto propuesto es la evidencia de que el suero de madres obesas contiene factores circulantes capaces de transferir este ambiente pro-oxidante a células en cultivo.</w:t>
      </w:r>
    </w:p>
    <w:p>
      <w:pPr>
        <w:pStyle w:val="Heading2"/>
        <w:spacing w:before="280" w:after="120"/>
      </w:pPr>
      <w:r>
        <w:rPr>
          <w:rFonts w:ascii="Arial" w:cs="Arial" w:eastAsia="Arial" w:hAnsi="Arial"/>
          <w:b/>
          <w:bCs/>
          <w:color w:val="2E75B6"/>
          <w:sz w:val="26"/>
          <w:szCs w:val="26"/>
        </w:rPr>
        <w:t xml:space="preserve">3.2 Relevancia específica para las membranas fetales</w:t>
      </w:r>
    </w:p>
    <w:p>
      <w:pPr>
        <w:spacing w:before="80" w:after="80" w:line="276"/>
        <w:jc w:val="both"/>
      </w:pPr>
      <w:r>
        <w:rPr>
          <w:rFonts w:ascii="Arial" w:cs="Arial" w:eastAsia="Arial" w:hAnsi="Arial"/>
          <w:sz w:val="22"/>
          <w:szCs w:val="22"/>
        </w:rPr>
        <w:t xml:space="preserve">Aunque la mayor parte de la evidencia sobre obesidad materna y estrés oxidativo proviene de estudios en placenta, los mecanismos moleculares son extrapolables a las membranas fetales dado que comparten tipos celulares similares (células trofoblásticas, mesenquimales) y están expuestas al mismo ambiente intrauterino alterado. La interfaz feto-materna en su conjunto —incluyendo las membranas— puede verse comprometida por la inflamación sistémica materna, alterando su capacidad de mantener la homeostasis inmune y mecánica necesaria para la gestación normal.</w:t>
      </w:r>
    </w:p>
    <w:p>
      <w:pPr>
        <w:spacing w:before="80" w:after="80" w:line="276"/>
        <w:jc w:val="both"/>
      </w:pPr>
      <w:r>
        <w:rPr>
          <w:rFonts w:ascii="Arial" w:cs="Arial" w:eastAsia="Arial" w:hAnsi="Arial"/>
          <w:sz w:val="22"/>
          <w:szCs w:val="22"/>
        </w:rPr>
        <w:t xml:space="preserve">Es importante notar que la relación entre obesidad materna y membranas fetales en particular representa una brecha de conocimiento significativa: la mayoría de los estudios se centran en placenta o en resultados perinatales. La caracterización del impacto del suero de madres obesas directamente sobre cultivos de células de membranas fetales —tal como propone este proyecto— representa una aproximación experimental novedosa con potencial para identificar mecanismos específicos de vulnerabilidad de estas células.</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4. Modelos In Vitro de Daño Oxidativo</w:t>
      </w:r>
    </w:p>
    <w:p>
      <w:pPr>
        <w:pStyle w:val="Heading2"/>
        <w:spacing w:before="280" w:after="120"/>
      </w:pPr>
      <w:r>
        <w:rPr>
          <w:rFonts w:ascii="Arial" w:cs="Arial" w:eastAsia="Arial" w:hAnsi="Arial"/>
          <w:b/>
          <w:bCs/>
          <w:color w:val="2E75B6"/>
          <w:sz w:val="26"/>
          <w:szCs w:val="26"/>
        </w:rPr>
        <w:t xml:space="preserve">4.1 Hipoxia como inductor de estrés oxidativo</w:t>
      </w:r>
    </w:p>
    <w:p>
      <w:pPr>
        <w:spacing w:before="80" w:after="80" w:line="276"/>
        <w:jc w:val="both"/>
      </w:pPr>
      <w:r>
        <w:rPr>
          <w:rFonts w:ascii="Arial" w:cs="Arial" w:eastAsia="Arial" w:hAnsi="Arial"/>
          <w:sz w:val="22"/>
          <w:szCs w:val="22"/>
        </w:rPr>
        <w:t xml:space="preserve">La hipoxia es una condición fisiológicamente relevante en el contexto del embarazo y, cuando se mantiene de forma prolongada o intermitente, puede convertirse en un potente inductor de estrés oxidativo. Bajo condiciones de baja tensión de oxígeno, la cadena de transporte de electrones mitocondrial se ve comprometida, generando un incremento en la producción de superóxido (O₂•⁻) que puede ser convertido a H₂O₂ por la superóxido dismutasa, y posteriormente a radical hidroxilo (•OH) a través de la reacción de Fenton. En membranas fetales, la hipoxia correlaciona positivamente con la producción de metabolitos oxidativos reactivos, y ha sido propuesta como un mecanismo contribuyente a la ruptura prematura de membranas.</w:t>
      </w:r>
    </w:p>
    <w:p>
      <w:pPr>
        <w:spacing w:before="80" w:after="80" w:line="276"/>
        <w:jc w:val="both"/>
      </w:pPr>
      <w:r>
        <w:rPr>
          <w:rFonts w:ascii="Arial" w:cs="Arial" w:eastAsia="Arial" w:hAnsi="Arial"/>
          <w:sz w:val="22"/>
          <w:szCs w:val="22"/>
        </w:rPr>
        <w:t xml:space="preserve">En el modelo experimental propuesto, la inducción de hipoxia en los cultivos de arranque permitirá establecer un escenario de estrés oxidativo controlado y fisiológicamente relevante, simulando condiciones que pueden ocurrir en el ambiente intrauterino comprometido. Se recomienda utilizar cámaras de hipoxia con niveles de 1–3% O₂ por períodos definidos, y monitorear la respuesta celular mediante la estabilización de HIF-1α como marcador de éxito.</w:t>
      </w:r>
    </w:p>
    <w:p>
      <w:pPr>
        <w:pStyle w:val="Heading2"/>
        <w:spacing w:before="280" w:after="120"/>
      </w:pPr>
      <w:r>
        <w:rPr>
          <w:rFonts w:ascii="Arial" w:cs="Arial" w:eastAsia="Arial" w:hAnsi="Arial"/>
          <w:b/>
          <w:bCs/>
          <w:color w:val="2E75B6"/>
          <w:sz w:val="26"/>
          <w:szCs w:val="26"/>
        </w:rPr>
        <w:t xml:space="preserve">4.2 Reacción de Fenton y exposición directa a H₂O₂</w:t>
      </w:r>
    </w:p>
    <w:p>
      <w:pPr>
        <w:spacing w:before="80" w:after="80" w:line="276"/>
        <w:jc w:val="both"/>
      </w:pPr>
      <w:r>
        <w:rPr>
          <w:rFonts w:ascii="Arial" w:cs="Arial" w:eastAsia="Arial" w:hAnsi="Arial"/>
          <w:sz w:val="22"/>
          <w:szCs w:val="22"/>
        </w:rPr>
        <w:t xml:space="preserve">La reacción de Fenton (Fe²⁺ + H₂O₂ → Fe³⁺ + OH⁻ + •OH) representa uno de los mecanismos más potentes de generación de radicales hidroxilo en sistemas biológicos. El •OH es altamente reactivo y no selectivo, capaz de oxidar proteínas, lípidos y ácidos nucleicos en el entorno inmediato de su formación. Este sistema ha sido empleado experimentalmente para simular el daño oxidativo severo que puede ocurrir en condiciones patológicas como la isquemia-reperfusión o el ambiente inflamatorio crónico.</w:t>
      </w:r>
    </w:p>
    <w:p>
      <w:pPr>
        <w:spacing w:before="80" w:after="80" w:line="276"/>
        <w:jc w:val="both"/>
      </w:pPr>
      <w:r>
        <w:rPr>
          <w:rFonts w:ascii="Arial" w:cs="Arial" w:eastAsia="Arial" w:hAnsi="Arial"/>
          <w:sz w:val="22"/>
          <w:szCs w:val="22"/>
        </w:rPr>
        <w:t xml:space="preserve">Para las células de membranas fetales en particular, la exposición directa a H₂O₂ ha demostrado inducir disminución de viabilidad dosis-dependiente tanto en células epiteliales como mesenquimales del amnion, con co-inducción de apoptosis y liberación de prostaglandina E2 (PGE2) en cultivos de amnion íntegro. Adicionalmente, estudios en células epiteliales de amnion expuestas a agentes oxidantes muestran activación de la quinasa ASK1, seguida de fosforilación de p38-MAPK y subsecuente senescencia celular, un efecto revertible con N-acetilcisteína (Menon et al., 2016). Estos antecedentes son fundamentales para el diseño de los grupos de arranque del proyecto: es esencial determinar curvas dosis-respuesta previas para H₂O₂ en el tipo celular específico a utilizar, para establecer concentraciones subletales que generen estrés oxidativo sin comprometer la viabilidad celular.</w:t>
      </w:r>
    </w:p>
    <w:p>
      <w:pPr>
        <w:pStyle w:val="Heading2"/>
        <w:spacing w:before="280" w:after="120"/>
      </w:pPr>
      <w:r>
        <w:rPr>
          <w:rFonts w:ascii="Arial" w:cs="Arial" w:eastAsia="Arial" w:hAnsi="Arial"/>
          <w:b/>
          <w:bCs/>
          <w:color w:val="2E75B6"/>
          <w:sz w:val="26"/>
          <w:szCs w:val="26"/>
        </w:rPr>
        <w:t xml:space="preserve">4.3 Consideraciones metodológicas para los modelos de daño</w:t>
      </w:r>
    </w:p>
    <w:p>
      <w:pPr>
        <w:spacing w:before="80" w:after="80" w:line="276"/>
        <w:jc w:val="both"/>
      </w:pPr>
      <w:r>
        <w:rPr>
          <w:rFonts w:ascii="Arial" w:cs="Arial" w:eastAsia="Arial" w:hAnsi="Arial"/>
          <w:sz w:val="22"/>
          <w:szCs w:val="22"/>
        </w:rPr>
        <w:t xml:space="preserve">Para el éxito del diseño experimental, se recomienda:</w:t>
      </w:r>
    </w:p>
    <w:p>
      <w:pPr>
        <w:pStyle w:val="ListParagraph"/>
        <w:numPr>
          <w:ilvl w:val="0"/>
          <w:numId w:val="2"/>
        </w:numPr>
        <w:spacing w:before="40" w:after="40"/>
      </w:pPr>
      <w:r>
        <w:rPr>
          <w:rFonts w:ascii="Arial" w:cs="Arial" w:eastAsia="Arial" w:hAnsi="Arial"/>
          <w:sz w:val="22"/>
          <w:szCs w:val="22"/>
        </w:rPr>
        <w:t xml:space="preserve">Realizar ensayos de viabilidad (MTT o MTS) a 24 y 48 h previo a los experimentos principales, utilizando concentraciones escalonadas de H₂O₂ (50–500 µM) y diferentes tiempos de hipoxia (6–24 h), para establecer las condiciones de trabajo.</w:t>
      </w:r>
    </w:p>
    <w:p>
      <w:pPr>
        <w:pStyle w:val="ListParagraph"/>
        <w:numPr>
          <w:ilvl w:val="0"/>
          <w:numId w:val="2"/>
        </w:numPr>
        <w:spacing w:before="40" w:after="40"/>
      </w:pPr>
      <w:r>
        <w:rPr>
          <w:rFonts w:ascii="Arial" w:cs="Arial" w:eastAsia="Arial" w:hAnsi="Arial"/>
          <w:sz w:val="22"/>
          <w:szCs w:val="22"/>
        </w:rPr>
        <w:t xml:space="preserve">Cuantificar ROS intracelular mediante DCF-DA en microplaca para validar que los estímulos generan el nivel deseado de estrés oxidativo.</w:t>
      </w:r>
    </w:p>
    <w:p>
      <w:pPr>
        <w:pStyle w:val="ListParagraph"/>
        <w:numPr>
          <w:ilvl w:val="0"/>
          <w:numId w:val="2"/>
        </w:numPr>
        <w:spacing w:before="40" w:after="40"/>
      </w:pPr>
      <w:r>
        <w:rPr>
          <w:rFonts w:ascii="Arial" w:cs="Arial" w:eastAsia="Arial" w:hAnsi="Arial"/>
          <w:sz w:val="22"/>
          <w:szCs w:val="22"/>
        </w:rPr>
        <w:t xml:space="preserve">Incluir NAC (5–10 mM) como rescate farmacológico positivo en los grupos de daño, para confirmar la reversibilidad oxidativa de los efectos observados.</w:t>
      </w:r>
    </w:p>
    <w:p>
      <w:pPr>
        <w:pStyle w:val="ListParagraph"/>
        <w:numPr>
          <w:ilvl w:val="0"/>
          <w:numId w:val="2"/>
        </w:numPr>
        <w:spacing w:before="40" w:after="40"/>
      </w:pPr>
      <w:r>
        <w:rPr>
          <w:rFonts w:ascii="Arial" w:cs="Arial" w:eastAsia="Arial" w:hAnsi="Arial"/>
          <w:sz w:val="22"/>
          <w:szCs w:val="22"/>
        </w:rPr>
        <w:t xml:space="preserve">Documentar la activación de p38-MAPK y p65-NF-κB como indicadores de la activación de vías de señalización inflamatoria-oxidativa secundarias al daño.</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5. La Vía Nrf2/Keap1/ARE: Mecanismo y Relevancia</w:t>
      </w:r>
    </w:p>
    <w:p>
      <w:pPr>
        <w:pStyle w:val="Heading2"/>
        <w:spacing w:before="280" w:after="120"/>
      </w:pPr>
      <w:r>
        <w:rPr>
          <w:rFonts w:ascii="Arial" w:cs="Arial" w:eastAsia="Arial" w:hAnsi="Arial"/>
          <w:b/>
          <w:bCs/>
          <w:color w:val="2E75B6"/>
          <w:sz w:val="26"/>
          <w:szCs w:val="26"/>
        </w:rPr>
        <w:t xml:space="preserve">5.1 Mecanismo molecular de la vía Nrf2-Keap1</w:t>
      </w:r>
    </w:p>
    <w:p>
      <w:pPr>
        <w:spacing w:before="80" w:after="80" w:line="276"/>
        <w:jc w:val="both"/>
      </w:pPr>
      <w:r>
        <w:rPr>
          <w:rFonts w:ascii="Arial" w:cs="Arial" w:eastAsia="Arial" w:hAnsi="Arial"/>
          <w:sz w:val="22"/>
          <w:szCs w:val="22"/>
        </w:rPr>
        <w:t xml:space="preserve">El factor de transcripción Nrf2 (Nuclear Factor Erythroid 2-Related Factor 2), codificado por el gen NFE2L2, es considerado el regulador maestro de la respuesta antioxidante celular. Bajo condiciones basales, Nrf2 es secuestrado en el citoplasma por su inhibidor Keap1 (Kelch-like ECH-Associated Protein 1), el cual forma un complejo E3-ubiquitina ligasa junto con Cullin-3 (Cul3) y RBX1, promoviendo la ubiquitinación y degradación proteasomal de Nrf2 con una vida media aproximada de 20 minutos (Baird y Dinkova-Kostova, 2020).</w:t>
      </w:r>
    </w:p>
    <w:p>
      <w:pPr>
        <w:spacing w:before="80" w:after="80" w:line="276"/>
        <w:jc w:val="both"/>
      </w:pPr>
      <w:r>
        <w:rPr>
          <w:rFonts w:ascii="Arial" w:cs="Arial" w:eastAsia="Arial" w:hAnsi="Arial"/>
          <w:sz w:val="22"/>
          <w:szCs w:val="22"/>
        </w:rPr>
        <w:t xml:space="preserve">En respuesta al estrés oxidativo o electrofílico, residuos de cisteína críticos en Keap1 —principalmente Cys273, Cys288 y Cys151— son modificados oxidativamente, lo que genera un cambio conformacional en la proteína. Según el modelo 'bisagra y pestillo' (hinge-and-latch), la modificación de estos residuos interrumpe la interacción del motivo DLG de Nrf2 con Keap1, mientras el motivo ETGE permanece unido. El Nrf2 recién sintetizado elude el sistema de ubiquitinación, se estabiliza y transloca al núcleo, donde forma heterodímeros con proteínas sMaf y se une a los elementos de respuesta antioxidante (ARE) en los promotores de sus genes blanco (Baird y Dinkova-Kostova, 2020).</w:t>
      </w:r>
    </w:p>
    <w:p>
      <w:pPr>
        <w:spacing w:before="80" w:after="80" w:line="276"/>
        <w:jc w:val="both"/>
      </w:pPr>
      <w:r>
        <w:rPr>
          <w:rFonts w:ascii="Arial" w:cs="Arial" w:eastAsia="Arial" w:hAnsi="Arial"/>
          <w:sz w:val="22"/>
          <w:szCs w:val="22"/>
        </w:rPr>
        <w:t xml:space="preserve">La activación de Nrf2 induce la transcripción de una batería de genes citoprotectores, entre los más relevantes:</w:t>
      </w:r>
    </w:p>
    <w:p>
      <w:pPr>
        <w:pStyle w:val="ListParagraph"/>
        <w:numPr>
          <w:ilvl w:val="0"/>
          <w:numId w:val="2"/>
        </w:numPr>
        <w:spacing w:before="40" w:after="40"/>
      </w:pPr>
      <w:r>
        <w:rPr>
          <w:rFonts w:ascii="Arial" w:cs="Arial" w:eastAsia="Arial" w:hAnsi="Arial"/>
          <w:b/>
          <w:bCs/>
          <w:sz w:val="22"/>
          <w:szCs w:val="22"/>
        </w:rPr>
        <w:t xml:space="preserve">HO-1 (Hemo Oxigenasa-1, HMOX1):</w:t>
      </w:r>
      <w:r>
        <w:rPr>
          <w:rFonts w:ascii="Arial" w:cs="Arial" w:eastAsia="Arial" w:hAnsi="Arial"/>
          <w:sz w:val="22"/>
          <w:szCs w:val="22"/>
        </w:rPr>
        <w:t xml:space="preserve"> enzima que degrada el grupo hemo, generando biliverdina (con actividad antioxidante), CO (antiinflamatorio) y Fe²⁺. Es el gen diana de Nrf2 más frecuentemente reportado como biomarcador de activación.</w:t>
      </w:r>
    </w:p>
    <w:p>
      <w:pPr>
        <w:pStyle w:val="ListParagraph"/>
        <w:numPr>
          <w:ilvl w:val="0"/>
          <w:numId w:val="2"/>
        </w:numPr>
        <w:spacing w:before="40" w:after="40"/>
      </w:pPr>
      <w:r>
        <w:rPr>
          <w:rFonts w:ascii="Arial" w:cs="Arial" w:eastAsia="Arial" w:hAnsi="Arial"/>
          <w:b/>
          <w:bCs/>
          <w:sz w:val="22"/>
          <w:szCs w:val="22"/>
        </w:rPr>
        <w:t xml:space="preserve">NQO1 (NAD(P)H Quinona Deshidrogenasa-1):</w:t>
      </w:r>
      <w:r>
        <w:rPr>
          <w:rFonts w:ascii="Arial" w:cs="Arial" w:eastAsia="Arial" w:hAnsi="Arial"/>
          <w:sz w:val="22"/>
          <w:szCs w:val="22"/>
        </w:rPr>
        <w:t xml:space="preserve"> neutraliza ROS y protege contra la oxidación de compuestos con grupos sulfhidrilo.</w:t>
      </w:r>
    </w:p>
    <w:p>
      <w:pPr>
        <w:pStyle w:val="ListParagraph"/>
        <w:numPr>
          <w:ilvl w:val="0"/>
          <w:numId w:val="2"/>
        </w:numPr>
        <w:spacing w:before="40" w:after="40"/>
      </w:pPr>
      <w:r>
        <w:rPr>
          <w:rFonts w:ascii="Arial" w:cs="Arial" w:eastAsia="Arial" w:hAnsi="Arial"/>
          <w:b/>
          <w:bCs/>
          <w:sz w:val="22"/>
          <w:szCs w:val="22"/>
        </w:rPr>
        <w:t xml:space="preserve">GCLC/GCLM (Glutamato-Cisteína Ligasa):</w:t>
      </w:r>
      <w:r>
        <w:rPr>
          <w:rFonts w:ascii="Arial" w:cs="Arial" w:eastAsia="Arial" w:hAnsi="Arial"/>
          <w:sz w:val="22"/>
          <w:szCs w:val="22"/>
        </w:rPr>
        <w:t xml:space="preserve"> catalizan el paso limitante en la síntesis de glutatión (GSH), el antioxidante intracelular más abundante.</w:t>
      </w:r>
    </w:p>
    <w:p>
      <w:pPr>
        <w:pStyle w:val="ListParagraph"/>
        <w:numPr>
          <w:ilvl w:val="0"/>
          <w:numId w:val="2"/>
        </w:numPr>
        <w:spacing w:before="40" w:after="40"/>
      </w:pPr>
      <w:r>
        <w:rPr>
          <w:rFonts w:ascii="Arial" w:cs="Arial" w:eastAsia="Arial" w:hAnsi="Arial"/>
          <w:b/>
          <w:bCs/>
          <w:sz w:val="22"/>
          <w:szCs w:val="22"/>
        </w:rPr>
        <w:t xml:space="preserve">SOD2, GPx, Tiorredoxina Reductasa:</w:t>
      </w:r>
      <w:r>
        <w:rPr>
          <w:rFonts w:ascii="Arial" w:cs="Arial" w:eastAsia="Arial" w:hAnsi="Arial"/>
          <w:sz w:val="22"/>
          <w:szCs w:val="22"/>
        </w:rPr>
        <w:t xml:space="preserve"> contribuyen al mantenimiento del balance redox y neutralización de diferentes especies de ROS.</w:t>
      </w:r>
    </w:p>
    <w:p>
      <w:pPr>
        <w:spacing w:before="80" w:after="80" w:line="276"/>
        <w:jc w:val="both"/>
      </w:pPr>
      <w:r>
        <w:rPr>
          <w:rFonts w:ascii="Arial" w:cs="Arial" w:eastAsia="Arial" w:hAnsi="Arial"/>
          <w:sz w:val="22"/>
          <w:szCs w:val="22"/>
        </w:rPr>
        <w:t xml:space="preserve">Más allá de su rol antioxidante, Nrf2 también modula vías inflamatorias suprimiendo la transcripción de citocinas proinflamatorias e inhibiendo la señalización de NF-κB, lo que lo convierte en un nodo integrador entre las respuestas antioxidante e inflamatoria celular (Verza et al., 2025).</w:t>
      </w:r>
    </w:p>
    <w:p>
      <w:pPr>
        <w:pStyle w:val="Heading2"/>
        <w:spacing w:before="280" w:after="120"/>
      </w:pPr>
      <w:r>
        <w:rPr>
          <w:rFonts w:ascii="Arial" w:cs="Arial" w:eastAsia="Arial" w:hAnsi="Arial"/>
          <w:b/>
          <w:bCs/>
          <w:color w:val="2E75B6"/>
          <w:sz w:val="26"/>
          <w:szCs w:val="26"/>
        </w:rPr>
        <w:t xml:space="preserve">5.2 Nrf2 en el contexto de membranas fetales y embarazo</w:t>
      </w:r>
    </w:p>
    <w:p>
      <w:pPr>
        <w:spacing w:before="80" w:after="80" w:line="276"/>
        <w:jc w:val="both"/>
      </w:pPr>
      <w:r>
        <w:rPr>
          <w:rFonts w:ascii="Arial" w:cs="Arial" w:eastAsia="Arial" w:hAnsi="Arial"/>
          <w:sz w:val="22"/>
          <w:szCs w:val="22"/>
        </w:rPr>
        <w:t xml:space="preserve">Si bien la vía Nrf2 ha sido extensamente estudiada en cáncer, enfermedades cardiovasculares e intestinales, su papel específico en las membranas fetales es un campo emergente. Dada la alta susceptibilidad de estas células al estrés oxidativo —documentada mediante la activación de la vía p38-MAPK y la inducción de senescencia— es biológicamente plausible que Nrf2 sea un regulador central de su capacidad de respuesta adaptativa. En el contexto de la obesidad materna, donde el ambiente pro-oxidante se encuentra crónicamente elevado, la capacidad de las células de membranas fetales para activar Nrf2 de manera eficiente podría ser un factor determinante de la integridad de las membranas.</w:t>
      </w:r>
    </w:p>
    <w:p>
      <w:pPr>
        <w:spacing w:before="80" w:after="80" w:line="276"/>
        <w:jc w:val="both"/>
      </w:pPr>
      <w:r>
        <w:rPr>
          <w:rFonts w:ascii="Arial" w:cs="Arial" w:eastAsia="Arial" w:hAnsi="Arial"/>
          <w:sz w:val="22"/>
          <w:szCs w:val="22"/>
        </w:rPr>
        <w:t xml:space="preserve">Datos indirectos respaldan esta hipótesis: en modelos de obesidad experimental, la activación de Nrf2 con sulforafano durante el embarazo redujo el desequilibrio redox en la descendencia y mejoró la función cardiovascular (Psefteli et al., 2023, citado en Arroyo-Jousse et al., 2024). Esto sugiere que la vía puede ser modulada farmacológicamente para contrarrestar los efectos del ambiente pro-oxidante materno en las células fetales.</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6. Leche Humana: Componentes Bioactivos y Modulación de Nrf2</w:t>
      </w:r>
    </w:p>
    <w:p>
      <w:pPr>
        <w:pStyle w:val="Heading2"/>
        <w:spacing w:before="280" w:after="120"/>
      </w:pPr>
      <w:r>
        <w:rPr>
          <w:rFonts w:ascii="Arial" w:cs="Arial" w:eastAsia="Arial" w:hAnsi="Arial"/>
          <w:b/>
          <w:bCs/>
          <w:color w:val="2E75B6"/>
          <w:sz w:val="26"/>
          <w:szCs w:val="26"/>
        </w:rPr>
        <w:t xml:space="preserve">6.1 Composición antioxidante de la leche humana</w:t>
      </w:r>
    </w:p>
    <w:p>
      <w:pPr>
        <w:spacing w:before="80" w:after="80" w:line="276"/>
        <w:jc w:val="both"/>
      </w:pPr>
      <w:r>
        <w:rPr>
          <w:rFonts w:ascii="Arial" w:cs="Arial" w:eastAsia="Arial" w:hAnsi="Arial"/>
          <w:sz w:val="22"/>
          <w:szCs w:val="22"/>
        </w:rPr>
        <w:t xml:space="preserve">La leche humana es una matriz biológica extraordinariamente compleja que contiene miles de moléculas bioactivas con funciones inmunoprotectoras, antimicrobianas y antioxidantes. Entre los componentes de mayor relevancia para la modulación del estrés oxidativo se encuentran:</w:t>
      </w:r>
    </w:p>
    <w:p>
      <w:pPr>
        <w:pStyle w:val="ListParagraph"/>
        <w:numPr>
          <w:ilvl w:val="0"/>
          <w:numId w:val="2"/>
        </w:numPr>
        <w:spacing w:before="40" w:after="40"/>
      </w:pPr>
      <w:r>
        <w:rPr>
          <w:rFonts w:ascii="Arial" w:cs="Arial" w:eastAsia="Arial" w:hAnsi="Arial"/>
          <w:b/>
          <w:bCs/>
          <w:sz w:val="22"/>
          <w:szCs w:val="22"/>
        </w:rPr>
        <w:t xml:space="preserve">Lactoferrina:</w:t>
      </w:r>
      <w:r>
        <w:rPr>
          <w:rFonts w:ascii="Arial" w:cs="Arial" w:eastAsia="Arial" w:hAnsi="Arial"/>
          <w:sz w:val="22"/>
          <w:szCs w:val="22"/>
        </w:rPr>
        <w:t xml:space="preserve"> glicoproteína de unión a hierro con amplia actividad antimicrobiana, antiinflamatoria y antioxidante. Es cuantitativamente la proteína más relevante del suero de leche en términos de bioactividad redox.</w:t>
      </w:r>
    </w:p>
    <w:p>
      <w:pPr>
        <w:pStyle w:val="ListParagraph"/>
        <w:numPr>
          <w:ilvl w:val="0"/>
          <w:numId w:val="2"/>
        </w:numPr>
        <w:spacing w:before="40" w:after="40"/>
      </w:pPr>
      <w:r>
        <w:rPr>
          <w:rFonts w:ascii="Arial" w:cs="Arial" w:eastAsia="Arial" w:hAnsi="Arial"/>
          <w:b/>
          <w:bCs/>
          <w:sz w:val="22"/>
          <w:szCs w:val="22"/>
        </w:rPr>
        <w:t xml:space="preserve">Lactoperoxidasa:</w:t>
      </w:r>
      <w:r>
        <w:rPr>
          <w:rFonts w:ascii="Arial" w:cs="Arial" w:eastAsia="Arial" w:hAnsi="Arial"/>
          <w:sz w:val="22"/>
          <w:szCs w:val="22"/>
        </w:rPr>
        <w:t xml:space="preserve"> enzima que puede generar compuestos biocidas mediante la oxidación de haluros en presencia de H₂O₂, ayudando a controlar los niveles de este oxidante en el epitelio.</w:t>
      </w:r>
    </w:p>
    <w:p>
      <w:pPr>
        <w:pStyle w:val="ListParagraph"/>
        <w:numPr>
          <w:ilvl w:val="0"/>
          <w:numId w:val="2"/>
        </w:numPr>
        <w:spacing w:before="40" w:after="40"/>
      </w:pPr>
      <w:r>
        <w:rPr>
          <w:rFonts w:ascii="Arial" w:cs="Arial" w:eastAsia="Arial" w:hAnsi="Arial"/>
          <w:b/>
          <w:bCs/>
          <w:sz w:val="22"/>
          <w:szCs w:val="22"/>
        </w:rPr>
        <w:t xml:space="preserve">Péptidos bioactivos:</w:t>
      </w:r>
      <w:r>
        <w:rPr>
          <w:rFonts w:ascii="Arial" w:cs="Arial" w:eastAsia="Arial" w:hAnsi="Arial"/>
          <w:sz w:val="22"/>
          <w:szCs w:val="22"/>
        </w:rPr>
        <w:t xml:space="preserve"> fragmentos generados por proteólisis de caseínas y proteínas de suero (β-lactoglobulina, α-lactoalbúmina, lactoferrina) con actividad antioxidante demostrada in vitro.</w:t>
      </w:r>
    </w:p>
    <w:p>
      <w:pPr>
        <w:pStyle w:val="ListParagraph"/>
        <w:numPr>
          <w:ilvl w:val="0"/>
          <w:numId w:val="2"/>
        </w:numPr>
        <w:spacing w:before="40" w:after="40"/>
      </w:pPr>
      <w:r>
        <w:rPr>
          <w:rFonts w:ascii="Arial" w:cs="Arial" w:eastAsia="Arial" w:hAnsi="Arial"/>
          <w:b/>
          <w:bCs/>
          <w:sz w:val="22"/>
          <w:szCs w:val="22"/>
        </w:rPr>
        <w:t xml:space="preserve">Melatonina, vitaminas C y E, carotenoides:</w:t>
      </w:r>
      <w:r>
        <w:rPr>
          <w:rFonts w:ascii="Arial" w:cs="Arial" w:eastAsia="Arial" w:hAnsi="Arial"/>
          <w:sz w:val="22"/>
          <w:szCs w:val="22"/>
        </w:rPr>
        <w:t xml:space="preserve"> contribuyen a la capacidad antioxidante hidrofílica y lipofílica total de la leche.</w:t>
      </w:r>
    </w:p>
    <w:p>
      <w:pPr>
        <w:pStyle w:val="Heading2"/>
        <w:spacing w:before="280" w:after="120"/>
      </w:pPr>
      <w:r>
        <w:rPr>
          <w:rFonts w:ascii="Arial" w:cs="Arial" w:eastAsia="Arial" w:hAnsi="Arial"/>
          <w:b/>
          <w:bCs/>
          <w:color w:val="2E75B6"/>
          <w:sz w:val="26"/>
          <w:szCs w:val="26"/>
        </w:rPr>
        <w:t xml:space="preserve">6.2 Lactoferrina y la activación de Nrf2</w:t>
      </w:r>
    </w:p>
    <w:p>
      <w:pPr>
        <w:spacing w:before="80" w:after="80" w:line="276"/>
        <w:jc w:val="both"/>
      </w:pPr>
      <w:r>
        <w:rPr>
          <w:rFonts w:ascii="Arial" w:cs="Arial" w:eastAsia="Arial" w:hAnsi="Arial"/>
          <w:sz w:val="22"/>
          <w:szCs w:val="22"/>
        </w:rPr>
        <w:t xml:space="preserve">La lactoferrina ha surgido como uno de los componentes más relevantes de la leche humana en términos de modulación de la vía Nrf2. Cuando se encuentra libre de hierro (apolactoferrina), la lactoferrina desregula las vías de MAPK y NF-κB involucradas en inflamación y equilibra la carga redox mediante la upregulación de la expresión de Nrf2 y de sus genes diana: GPx, GST y HO-1 (Molinari et al., 2021). Notablemente, esta upregulación de Nrf2 parece ser mediada de manera indirecta a través de la estabilización de los factores de transcripción sensibles al redox HIF-1α y HIF-2α por parte de la lactoferrina, los cuales a su vez regulan la expresión de eritropoyetina, una citocina con funciones tróficas y citoprotectoras (Molinari et al., 2021).</w:t>
      </w:r>
    </w:p>
    <w:p>
      <w:pPr>
        <w:spacing w:before="80" w:after="80" w:line="276"/>
        <w:jc w:val="both"/>
      </w:pPr>
      <w:r>
        <w:rPr>
          <w:rFonts w:ascii="Arial" w:cs="Arial" w:eastAsia="Arial" w:hAnsi="Arial"/>
          <w:sz w:val="22"/>
          <w:szCs w:val="22"/>
        </w:rPr>
        <w:t xml:space="preserve">Este mecanismo de acción indirecto sobre Nrf2 a través del eje HIF/eritropoyetina es particularmente interesante en el contexto del proyecto, ya que la hipoxia —uno de los estímulos de arranque propuestos— también estabiliza HIF-1α. Esto podría generar interacciones entre los distintos grupos experimentales que merecen consideración al diseñar los controles.</w:t>
      </w:r>
    </w:p>
    <w:p>
      <w:pPr>
        <w:pStyle w:val="Heading2"/>
        <w:spacing w:before="280" w:after="120"/>
      </w:pPr>
      <w:r>
        <w:rPr>
          <w:rFonts w:ascii="Arial" w:cs="Arial" w:eastAsia="Arial" w:hAnsi="Arial"/>
          <w:b/>
          <w:bCs/>
          <w:color w:val="2E75B6"/>
          <w:sz w:val="26"/>
          <w:szCs w:val="26"/>
        </w:rPr>
        <w:t xml:space="preserve">6.3 Péptidos derivados de la leche y la vía Keap1-Nrf2</w:t>
      </w:r>
    </w:p>
    <w:p>
      <w:pPr>
        <w:spacing w:before="80" w:after="80" w:line="276"/>
        <w:jc w:val="both"/>
      </w:pPr>
      <w:r>
        <w:rPr>
          <w:rFonts w:ascii="Arial" w:cs="Arial" w:eastAsia="Arial" w:hAnsi="Arial"/>
          <w:sz w:val="22"/>
          <w:szCs w:val="22"/>
        </w:rPr>
        <w:t xml:space="preserve">Tonolo et al. (2020) demostraron que cuatro péptidos bioactivos derivados de leche exhiben actividad antioxidante a través de la vía Keap1-Nrf2 en modelos celulares in vitro. Estos péptidos actúan como modificadores de los residuos de cisteína de Keap1 o como estabilizadores directos de Nrf2, promoviendo su translocación nuclear y la expresión de genes diana. El mecanismo es análogo al de compuestos naturales bien establecidos como el sulforafano, la curcumina y el resveratrol, todos los cuales también activan Nrf2 a través de modificación electrofílica de Keap1.</w:t>
      </w:r>
    </w:p>
    <w:p>
      <w:pPr>
        <w:spacing w:before="80" w:after="80" w:line="276"/>
        <w:jc w:val="both"/>
      </w:pPr>
      <w:r>
        <w:rPr>
          <w:rFonts w:ascii="Arial" w:cs="Arial" w:eastAsia="Arial" w:hAnsi="Arial"/>
          <w:sz w:val="22"/>
          <w:szCs w:val="22"/>
        </w:rPr>
        <w:t xml:space="preserve">En paralelo, estudios de lactoferrina y suero de leche en líneas celulares intestinales y hepáticas han demostrado una inversión significativa del estrés oxidativo inducido por agentes como la menadiona, con la lactoferrina siendo el componente más potente para células hepáticas (HepG2) (Abad et al., 2023). Aunque estos modelos distan del tipo celular de membranas fetales, establecen el principio de que los componentes del suero de leche son capaces de modular la respuesta antioxidante en células sometidas a estrés oxidativo agudo.</w:t>
      </w:r>
    </w:p>
    <w:p>
      <w:pPr>
        <w:pStyle w:val="Heading2"/>
        <w:spacing w:before="280" w:after="120"/>
      </w:pPr>
      <w:r>
        <w:rPr>
          <w:rFonts w:ascii="Arial" w:cs="Arial" w:eastAsia="Arial" w:hAnsi="Arial"/>
          <w:b/>
          <w:bCs/>
          <w:color w:val="2E75B6"/>
          <w:sz w:val="26"/>
          <w:szCs w:val="26"/>
        </w:rPr>
        <w:t xml:space="preserve">6.4 Brecha de conocimiento y relevancia del proyecto</w:t>
      </w:r>
    </w:p>
    <w:p>
      <w:pPr>
        <w:spacing w:before="80" w:after="80" w:line="276"/>
        <w:jc w:val="both"/>
      </w:pPr>
      <w:r>
        <w:rPr>
          <w:rFonts w:ascii="Arial" w:cs="Arial" w:eastAsia="Arial" w:hAnsi="Arial"/>
          <w:sz w:val="22"/>
          <w:szCs w:val="22"/>
        </w:rPr>
        <w:t xml:space="preserve">A pesar de la evidencia existente sobre el potencial antioxidante de la leche humana y la capacidad de sus componentes para activar Nrf2 en distintos modelos celulares, no existe literatura que haya explorado directamente estos efectos en células de membranas fetales. Esta es precisamente la brecha de conocimiento que el proyecto experimental se propone abordar. La pregunta de si los componentes bioactivos del suero de leche humana pueden modular Nrf2 en células de membranas fetales sometidas al ambiente pro-oxidante del suero de madres obesas representa una hipótesis novedosa con implicaciones traslacionales potencialmente significativas.</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7. Técnicas Clave para el Proyecto Experimental</w:t>
      </w:r>
    </w:p>
    <w:p>
      <w:pPr>
        <w:spacing w:before="80" w:after="80" w:line="276"/>
        <w:jc w:val="both"/>
      </w:pPr>
      <w:r>
        <w:rPr>
          <w:rFonts w:ascii="Arial" w:cs="Arial" w:eastAsia="Arial" w:hAnsi="Arial"/>
          <w:sz w:val="22"/>
          <w:szCs w:val="22"/>
        </w:rPr>
        <w:t xml:space="preserve">Con base en la literatura revisada, las siguientes técnicas son esenciales para la caracterización de los marcadores de interés en el diseño experimental propuesto:</w:t>
      </w:r>
    </w:p>
    <w:p>
      <w:pPr>
        <w:pStyle w:val="Heading3"/>
        <w:spacing w:before="200" w:after="80"/>
      </w:pPr>
      <w:r>
        <w:rPr>
          <w:rFonts w:ascii="Arial" w:cs="Arial" w:eastAsia="Arial" w:hAnsi="Arial"/>
          <w:b/>
          <w:bCs/>
          <w:color w:val="555555"/>
          <w:sz w:val="24"/>
          <w:szCs w:val="24"/>
        </w:rPr>
        <w:t xml:space="preserve">Estrés oxidativo</w:t>
      </w:r>
    </w:p>
    <w:p>
      <w:pPr>
        <w:pStyle w:val="ListParagraph"/>
        <w:numPr>
          <w:ilvl w:val="0"/>
          <w:numId w:val="2"/>
        </w:numPr>
        <w:spacing w:before="40" w:after="40"/>
      </w:pPr>
      <w:r>
        <w:rPr>
          <w:rFonts w:ascii="Arial" w:cs="Arial" w:eastAsia="Arial" w:hAnsi="Arial"/>
          <w:sz w:val="22"/>
          <w:szCs w:val="22"/>
        </w:rPr>
        <w:t xml:space="preserve">DCF-DA (2',7'-diclorodihidrofluoresceína): detección y cuantificación de ROS intracelular por fluorescencia.</w:t>
      </w:r>
    </w:p>
    <w:p>
      <w:pPr>
        <w:pStyle w:val="ListParagraph"/>
        <w:numPr>
          <w:ilvl w:val="0"/>
          <w:numId w:val="2"/>
        </w:numPr>
        <w:spacing w:before="40" w:after="40"/>
      </w:pPr>
      <w:r>
        <w:rPr>
          <w:rFonts w:ascii="Arial" w:cs="Arial" w:eastAsia="Arial" w:hAnsi="Arial"/>
          <w:sz w:val="22"/>
          <w:szCs w:val="22"/>
        </w:rPr>
        <w:t xml:space="preserve">MDA/TBARS: marcador de peroxidación lipídica, cuantificable por colorimetría.</w:t>
      </w:r>
    </w:p>
    <w:p>
      <w:pPr>
        <w:pStyle w:val="ListParagraph"/>
        <w:numPr>
          <w:ilvl w:val="0"/>
          <w:numId w:val="2"/>
        </w:numPr>
        <w:spacing w:before="40" w:after="40"/>
      </w:pPr>
      <w:r>
        <w:rPr>
          <w:rFonts w:ascii="Arial" w:cs="Arial" w:eastAsia="Arial" w:hAnsi="Arial"/>
          <w:sz w:val="22"/>
          <w:szCs w:val="22"/>
        </w:rPr>
        <w:t xml:space="preserve">Proteínas carboniladas (OxyBlot): indicador de oxidación de proteínas.</w:t>
      </w:r>
    </w:p>
    <w:p>
      <w:pPr>
        <w:pStyle w:val="ListParagraph"/>
        <w:numPr>
          <w:ilvl w:val="0"/>
          <w:numId w:val="2"/>
        </w:numPr>
        <w:spacing w:before="40" w:after="40"/>
      </w:pPr>
      <w:r>
        <w:rPr>
          <w:rFonts w:ascii="Arial" w:cs="Arial" w:eastAsia="Arial" w:hAnsi="Arial"/>
          <w:sz w:val="22"/>
          <w:szCs w:val="22"/>
        </w:rPr>
        <w:t xml:space="preserve">Actividad enzimática de SOD, catalasa y GPx en lisados celulares.</w:t>
      </w:r>
    </w:p>
    <w:p>
      <w:pPr>
        <w:pStyle w:val="Heading3"/>
        <w:spacing w:before="200" w:after="80"/>
      </w:pPr>
      <w:r>
        <w:rPr>
          <w:rFonts w:ascii="Arial" w:cs="Arial" w:eastAsia="Arial" w:hAnsi="Arial"/>
          <w:b/>
          <w:bCs/>
          <w:color w:val="555555"/>
          <w:sz w:val="24"/>
          <w:szCs w:val="24"/>
        </w:rPr>
        <w:t xml:space="preserve">Inflamación</w:t>
      </w:r>
    </w:p>
    <w:p>
      <w:pPr>
        <w:pStyle w:val="ListParagraph"/>
        <w:numPr>
          <w:ilvl w:val="0"/>
          <w:numId w:val="2"/>
        </w:numPr>
        <w:spacing w:before="40" w:after="40"/>
      </w:pPr>
      <w:r>
        <w:rPr>
          <w:rFonts w:ascii="Arial" w:cs="Arial" w:eastAsia="Arial" w:hAnsi="Arial"/>
          <w:sz w:val="22"/>
          <w:szCs w:val="22"/>
        </w:rPr>
        <w:t xml:space="preserve">ELISA: cuantificación de IL-6, TNF-α, IL-1β, IL-8 en sobrenadantes de cultivo a 24 y 48 h post-estimulación.</w:t>
      </w:r>
    </w:p>
    <w:p>
      <w:pPr>
        <w:pStyle w:val="ListParagraph"/>
        <w:numPr>
          <w:ilvl w:val="0"/>
          <w:numId w:val="2"/>
        </w:numPr>
        <w:spacing w:before="40" w:after="40"/>
      </w:pPr>
      <w:r>
        <w:rPr>
          <w:rFonts w:ascii="Arial" w:cs="Arial" w:eastAsia="Arial" w:hAnsi="Arial"/>
          <w:sz w:val="22"/>
          <w:szCs w:val="22"/>
        </w:rPr>
        <w:t xml:space="preserve">Western blot: detección de p65-NF-κB fosforilado y p38-MAPK fosforilado.</w:t>
      </w:r>
    </w:p>
    <w:p>
      <w:pPr>
        <w:pStyle w:val="Heading3"/>
        <w:spacing w:before="200" w:after="80"/>
      </w:pPr>
      <w:r>
        <w:rPr>
          <w:rFonts w:ascii="Arial" w:cs="Arial" w:eastAsia="Arial" w:hAnsi="Arial"/>
          <w:b/>
          <w:bCs/>
          <w:color w:val="555555"/>
          <w:sz w:val="24"/>
          <w:szCs w:val="24"/>
        </w:rPr>
        <w:t xml:space="preserve">Vía Nrf2</w:t>
      </w:r>
    </w:p>
    <w:p>
      <w:pPr>
        <w:pStyle w:val="ListParagraph"/>
        <w:numPr>
          <w:ilvl w:val="0"/>
          <w:numId w:val="2"/>
        </w:numPr>
        <w:spacing w:before="40" w:after="40"/>
      </w:pPr>
      <w:r>
        <w:rPr>
          <w:rFonts w:ascii="Arial" w:cs="Arial" w:eastAsia="Arial" w:hAnsi="Arial"/>
          <w:sz w:val="22"/>
          <w:szCs w:val="22"/>
        </w:rPr>
        <w:t xml:space="preserve">Western blot en fracciones citoplásmica y nuclear: detección de Nrf2 total y nuclear (indicador de translocación activa).</w:t>
      </w:r>
    </w:p>
    <w:p>
      <w:pPr>
        <w:pStyle w:val="ListParagraph"/>
        <w:numPr>
          <w:ilvl w:val="0"/>
          <w:numId w:val="2"/>
        </w:numPr>
        <w:spacing w:before="40" w:after="40"/>
      </w:pPr>
      <w:r>
        <w:rPr>
          <w:rFonts w:ascii="Arial" w:cs="Arial" w:eastAsia="Arial" w:hAnsi="Arial"/>
          <w:sz w:val="22"/>
          <w:szCs w:val="22"/>
        </w:rPr>
        <w:t xml:space="preserve">Inmunocitoquímica/inmunofluorescencia: visualización directa de la translocación nuclear de Nrf2.</w:t>
      </w:r>
    </w:p>
    <w:p>
      <w:pPr>
        <w:pStyle w:val="ListParagraph"/>
        <w:numPr>
          <w:ilvl w:val="0"/>
          <w:numId w:val="2"/>
        </w:numPr>
        <w:spacing w:before="40" w:after="40"/>
      </w:pPr>
      <w:r>
        <w:rPr>
          <w:rFonts w:ascii="Arial" w:cs="Arial" w:eastAsia="Arial" w:hAnsi="Arial"/>
          <w:sz w:val="22"/>
          <w:szCs w:val="22"/>
        </w:rPr>
        <w:t xml:space="preserve">RT-qPCR: cuantificación de genes diana de Nrf2 (HO-1, NQO1, GCLM, GCLC).</w:t>
      </w:r>
    </w:p>
    <w:p>
      <w:pPr>
        <w:pStyle w:val="Heading3"/>
        <w:spacing w:before="200" w:after="80"/>
      </w:pPr>
      <w:r>
        <w:rPr>
          <w:rFonts w:ascii="Arial" w:cs="Arial" w:eastAsia="Arial" w:hAnsi="Arial"/>
          <w:b/>
          <w:bCs/>
          <w:color w:val="555555"/>
          <w:sz w:val="24"/>
          <w:szCs w:val="24"/>
        </w:rPr>
        <w:t xml:space="preserve">Viabilidad celular</w:t>
      </w:r>
    </w:p>
    <w:p>
      <w:pPr>
        <w:pStyle w:val="ListParagraph"/>
        <w:numPr>
          <w:ilvl w:val="0"/>
          <w:numId w:val="2"/>
        </w:numPr>
        <w:spacing w:before="40" w:after="40"/>
      </w:pPr>
      <w:r>
        <w:rPr>
          <w:rFonts w:ascii="Arial" w:cs="Arial" w:eastAsia="Arial" w:hAnsi="Arial"/>
          <w:sz w:val="22"/>
          <w:szCs w:val="22"/>
        </w:rPr>
        <w:t xml:space="preserve">MTT o MTS: determinación de curvas dosis-respuesta previas para H₂O₂, suero de madres obesas y suero de leche.</w:t>
      </w:r>
    </w:p>
    <w:p>
      <w:pPr>
        <w:pStyle w:val="ListParagraph"/>
        <w:numPr>
          <w:ilvl w:val="0"/>
          <w:numId w:val="2"/>
        </w:numPr>
        <w:spacing w:before="40" w:after="40"/>
      </w:pPr>
      <w:r>
        <w:rPr>
          <w:rFonts w:ascii="Arial" w:cs="Arial" w:eastAsia="Arial" w:hAnsi="Arial"/>
          <w:sz w:val="22"/>
          <w:szCs w:val="22"/>
        </w:rPr>
        <w:t xml:space="preserve">Citometría de flujo (Anexina V/IP): diferenciación entre apoptosis y necrosis en condiciones de daño severo.</w:t>
      </w:r>
    </w:p>
    <w:p>
      <w:pPr>
        <w:spacing w:before="60" w:after="60"/>
      </w:pPr>
      <w:r>
        <w:t xml:space="preserve"/>
      </w:r>
    </w:p>
    <w:p>
      <w:pPr>
        <w:pStyle w:val="Heading1"/>
        <w:spacing w:before="360" w:after="160"/>
      </w:pPr>
      <w:r>
        <w:rPr>
          <w:rFonts w:ascii="Arial" w:cs="Arial" w:eastAsia="Arial" w:hAnsi="Arial"/>
          <w:b/>
          <w:bCs/>
          <w:color w:val="1F4788"/>
          <w:sz w:val="30"/>
          <w:szCs w:val="30"/>
        </w:rPr>
        <w:t xml:space="preserve">8. Brechas de Conocimiento y Relevancia del Proyecto</w:t>
      </w:r>
    </w:p>
    <w:p>
      <w:pPr>
        <w:spacing w:before="80" w:after="80" w:line="276"/>
        <w:jc w:val="both"/>
      </w:pPr>
      <w:r>
        <w:rPr>
          <w:rFonts w:ascii="Arial" w:cs="Arial" w:eastAsia="Arial" w:hAnsi="Arial"/>
          <w:sz w:val="22"/>
          <w:szCs w:val="22"/>
        </w:rPr>
        <w:t xml:space="preserve">La revisión de la literatura permite identificar tres brechas principales que este proyecto experimental aborda:</w:t>
      </w:r>
    </w:p>
    <w:p>
      <w:pPr>
        <w:pStyle w:val="ListParagraph"/>
        <w:numPr>
          <w:ilvl w:val="0"/>
          <w:numId w:val="2"/>
        </w:numPr>
        <w:spacing w:before="40" w:after="40"/>
      </w:pPr>
      <w:r>
        <w:rPr>
          <w:rFonts w:ascii="Arial" w:cs="Arial" w:eastAsia="Arial" w:hAnsi="Arial"/>
          <w:sz w:val="22"/>
          <w:szCs w:val="22"/>
        </w:rPr>
        <w:t xml:space="preserve">Vacío 1 — Membranas fetales en obesidad: La mayor parte de la investigación sobre obesidad materna y estrés oxidativo se ha realizado en tejido placentario. El impacto específico del suero de madres obesas sobre células de membranas fetales en cultivo es prácticamente inexplorado.</w:t>
      </w:r>
    </w:p>
    <w:p>
      <w:pPr>
        <w:pStyle w:val="ListParagraph"/>
        <w:numPr>
          <w:ilvl w:val="0"/>
          <w:numId w:val="2"/>
        </w:numPr>
        <w:spacing w:before="40" w:after="40"/>
      </w:pPr>
      <w:r>
        <w:rPr>
          <w:rFonts w:ascii="Arial" w:cs="Arial" w:eastAsia="Arial" w:hAnsi="Arial"/>
          <w:sz w:val="22"/>
          <w:szCs w:val="22"/>
        </w:rPr>
        <w:t xml:space="preserve">Vacío 2 — Nrf2 en membranas fetales: La vía Nrf2 no ha sido caracterizada en profundidad en células de membranas fetales como blanco molecular de intervención, a pesar de que la biología de la senescencia oxidativa en estas células involucra claramente mecanismos relacionados con la respuesta antioxidante.</w:t>
      </w:r>
    </w:p>
    <w:p>
      <w:pPr>
        <w:pStyle w:val="ListParagraph"/>
        <w:numPr>
          <w:ilvl w:val="0"/>
          <w:numId w:val="2"/>
        </w:numPr>
        <w:spacing w:before="40" w:after="40"/>
      </w:pPr>
      <w:r>
        <w:rPr>
          <w:rFonts w:ascii="Arial" w:cs="Arial" w:eastAsia="Arial" w:hAnsi="Arial"/>
          <w:sz w:val="22"/>
          <w:szCs w:val="22"/>
        </w:rPr>
        <w:t xml:space="preserve">Vacío 3 — Leche humana como modulador en membranas fetales: No existe evidencia publicada sobre el efecto del suero de leche humana —ni de sus componentes bioactivos individuales— sobre la vía Nrf2 en células de membranas fetales.</w:t>
      </w:r>
    </w:p>
    <w:p>
      <w:pPr>
        <w:spacing w:before="80" w:after="80" w:line="276"/>
        <w:jc w:val="both"/>
      </w:pPr>
      <w:r>
        <w:rPr>
          <w:rFonts w:ascii="Arial" w:cs="Arial" w:eastAsia="Arial" w:hAnsi="Arial"/>
          <w:sz w:val="22"/>
          <w:szCs w:val="22"/>
        </w:rPr>
        <w:t xml:space="preserve">El proyecto propuesto tiene el potencial de contribuir conocimiento original en las tres áreas, con implicaciones para la comprensión de los mecanismos por los cuales la obesidad materna puede comprometer la integridad de las membranas fetales, y para la identificación de la leche humana como fuente de compuestos con potencial citoprotector para estas células.</w:t>
      </w:r>
    </w:p>
    <w:p>
      <w:pPr>
        <w:spacing w:before="60" w:after="60"/>
      </w:pPr>
      <w:r>
        <w:t xml:space="preserve"/>
      </w:r>
    </w:p>
    <w:p>
      <w:pPr>
        <w:pBdr>
          <w:bottom w:val="single" w:color="2E75B6" w:sz="4" w:space="1"/>
        </w:pBdr>
        <w:spacing w:before="160" w:after="160"/>
      </w:pPr>
    </w:p>
    <w:p>
      <w:pPr>
        <w:pStyle w:val="Heading1"/>
        <w:spacing w:before="360" w:after="160"/>
      </w:pPr>
      <w:r>
        <w:rPr>
          <w:rFonts w:ascii="Arial" w:cs="Arial" w:eastAsia="Arial" w:hAnsi="Arial"/>
          <w:b/>
          <w:bCs/>
          <w:color w:val="1F4788"/>
          <w:sz w:val="30"/>
          <w:szCs w:val="30"/>
        </w:rPr>
        <w:t xml:space="preserve">Referencias</w:t>
      </w:r>
    </w:p>
    <w:p>
      <w:pPr>
        <w:spacing w:before="40" w:after="40" w:line="252"/>
        <w:ind w:left="720" w:hanging="720"/>
      </w:pPr>
      <w:r>
        <w:rPr>
          <w:rFonts w:ascii="Arial" w:cs="Arial" w:eastAsia="Arial" w:hAnsi="Arial"/>
          <w:color w:val="555555"/>
          <w:sz w:val="20"/>
          <w:szCs w:val="20"/>
        </w:rPr>
        <w:t xml:space="preserve">Abad I, Vignard J, Bouchenot C, et al. (2023). Dairy by-products and lactoferrin exert antioxidant and antigenotoxic activity on intestinal and hepatic cells. Foods, 12(10), 2073. doi:10.3390/foods12102073</w:t>
      </w:r>
    </w:p>
    <w:p>
      <w:pPr>
        <w:spacing w:before="40" w:after="40" w:line="252"/>
        <w:ind w:left="720" w:hanging="720"/>
      </w:pPr>
      <w:r>
        <w:rPr>
          <w:rFonts w:ascii="Arial" w:cs="Arial" w:eastAsia="Arial" w:hAnsi="Arial"/>
          <w:color w:val="555555"/>
          <w:sz w:val="20"/>
          <w:szCs w:val="20"/>
        </w:rPr>
        <w:t xml:space="preserve">Arroyo-Jousse V, Candia AA, Pardo F, et al. (2024). Placental inflammation, oxidative stress, and fetal outcomes in maternal obesity. Trends in Endocrinology &amp; Metabolism, 35(3), 257–269. doi:10.1016/j.tem.2024.01.009</w:t>
      </w:r>
    </w:p>
    <w:p>
      <w:pPr>
        <w:spacing w:before="40" w:after="40" w:line="252"/>
        <w:ind w:left="720" w:hanging="720"/>
      </w:pPr>
      <w:r>
        <w:rPr>
          <w:rFonts w:ascii="Arial" w:cs="Arial" w:eastAsia="Arial" w:hAnsi="Arial"/>
          <w:color w:val="555555"/>
          <w:sz w:val="20"/>
          <w:szCs w:val="20"/>
        </w:rPr>
        <w:t xml:space="preserve">Baird L, Dinkova-Kostova AT. (2011). The cytoprotective role of the Keap1-Nrf2 pathway. Archives of Toxicology, 85(4), 241–272. doi:10.1007/s00204-011-0674-5</w:t>
      </w:r>
    </w:p>
    <w:p>
      <w:pPr>
        <w:spacing w:before="40" w:after="40" w:line="252"/>
        <w:ind w:left="720" w:hanging="720"/>
      </w:pPr>
      <w:r>
        <w:rPr>
          <w:rFonts w:ascii="Arial" w:cs="Arial" w:eastAsia="Arial" w:hAnsi="Arial"/>
          <w:color w:val="555555"/>
          <w:sz w:val="20"/>
          <w:szCs w:val="20"/>
        </w:rPr>
        <w:t xml:space="preserve">Baird L, Dinkova-Kostova AT. (2020). The molecular mechanisms regulating the KEAP1-NRF2 pathway. Molecular and Cellular Biology, 40(13), e00099-20. doi:10.1128/MCB.00099-20</w:t>
      </w:r>
    </w:p>
    <w:p>
      <w:pPr>
        <w:spacing w:before="40" w:after="40" w:line="252"/>
        <w:ind w:left="720" w:hanging="720"/>
      </w:pPr>
      <w:r>
        <w:rPr>
          <w:rFonts w:ascii="Arial" w:cs="Arial" w:eastAsia="Arial" w:hAnsi="Arial"/>
          <w:color w:val="555555"/>
          <w:sz w:val="20"/>
          <w:szCs w:val="20"/>
        </w:rPr>
        <w:t xml:space="preserve">Candia AA, Pardo F, Westermeier F, et al. (2024). Obesogenic diet in mice leads to inflammation and oxidative stress in the mother in association with sex-specific changes in fetal development, inflammatory markers and placental transcriptome. MDPI Nutrients/Front Physiol.</w:t>
      </w:r>
    </w:p>
    <w:p>
      <w:pPr>
        <w:spacing w:before="40" w:after="40" w:line="252"/>
        <w:ind w:left="720" w:hanging="720"/>
      </w:pPr>
      <w:r>
        <w:rPr>
          <w:rFonts w:ascii="Arial" w:cs="Arial" w:eastAsia="Arial" w:hAnsi="Arial"/>
          <w:color w:val="555555"/>
          <w:sz w:val="20"/>
          <w:szCs w:val="20"/>
        </w:rPr>
        <w:t xml:space="preserve">Longini M, Perrone S, Vivi A, et al. (2012). Increased oxidative stress in human fetal membranes overlying the cervix from term non-labouring and post labour deliveries. BJOG, 119(4), 488–495.</w:t>
      </w:r>
    </w:p>
    <w:p>
      <w:pPr>
        <w:spacing w:before="40" w:after="40" w:line="252"/>
        <w:ind w:left="720" w:hanging="720"/>
      </w:pPr>
      <w:r>
        <w:rPr>
          <w:rFonts w:ascii="Arial" w:cs="Arial" w:eastAsia="Arial" w:hAnsi="Arial"/>
          <w:color w:val="555555"/>
          <w:sz w:val="20"/>
          <w:szCs w:val="20"/>
        </w:rPr>
        <w:t xml:space="preserve">Menon R, Behnia F, Polettini J, et al. (2016). Placental membrane aging and HMGB1 signaling associated with human parturition. Aging (Albany NY), 8(2), 216–230.</w:t>
      </w:r>
    </w:p>
    <w:p>
      <w:pPr>
        <w:spacing w:before="40" w:after="40" w:line="252"/>
        <w:ind w:left="720" w:hanging="720"/>
      </w:pPr>
      <w:r>
        <w:rPr>
          <w:rFonts w:ascii="Arial" w:cs="Arial" w:eastAsia="Arial" w:hAnsi="Arial"/>
          <w:color w:val="555555"/>
          <w:sz w:val="20"/>
          <w:szCs w:val="20"/>
        </w:rPr>
        <w:t xml:space="preserve">Menon R, Moore JJ. (2020). Fetal membranes, not a mere appendage of the placenta, but a critical part of the fetal-maternal interface controlling parturition. Obstetrics and Gynecology Clinics, 47(1), 147–162.</w:t>
      </w:r>
    </w:p>
    <w:p>
      <w:pPr>
        <w:spacing w:before="40" w:after="40" w:line="252"/>
        <w:ind w:left="720" w:hanging="720"/>
      </w:pPr>
      <w:r>
        <w:rPr>
          <w:rFonts w:ascii="Arial" w:cs="Arial" w:eastAsia="Arial" w:hAnsi="Arial"/>
          <w:color w:val="555555"/>
          <w:sz w:val="20"/>
          <w:szCs w:val="20"/>
        </w:rPr>
        <w:t xml:space="preserve">Menon R, Radnaa E, Behnia F, Urrabaz-Garza R. (2020). Isolation and characterization human chorion membrane trophoblast and mesenchymal cells. Placenta, 101, 139–146. doi:10.1016/j.placenta.2020.09.017</w:t>
      </w:r>
    </w:p>
    <w:p>
      <w:pPr>
        <w:spacing w:before="40" w:after="40" w:line="252"/>
        <w:ind w:left="720" w:hanging="720"/>
      </w:pPr>
      <w:r>
        <w:rPr>
          <w:rFonts w:ascii="Arial" w:cs="Arial" w:eastAsia="Arial" w:hAnsi="Arial"/>
          <w:color w:val="555555"/>
          <w:sz w:val="20"/>
          <w:szCs w:val="20"/>
        </w:rPr>
        <w:t xml:space="preserve">Molinari C, Grossini E, Uberti F. (2021). Antioxidative molecules in human milk and environmental contaminants. Antioxidants, 10(4), 550. doi:10.3390/antiox10040550</w:t>
      </w:r>
    </w:p>
    <w:p>
      <w:pPr>
        <w:spacing w:before="40" w:after="40" w:line="252"/>
        <w:ind w:left="720" w:hanging="720"/>
      </w:pPr>
      <w:r>
        <w:rPr>
          <w:rFonts w:ascii="Arial" w:cs="Arial" w:eastAsia="Arial" w:hAnsi="Arial"/>
          <w:color w:val="555555"/>
          <w:sz w:val="20"/>
          <w:szCs w:val="20"/>
        </w:rPr>
        <w:t xml:space="preserve">Monaco-Brown M, Lawrence DA. (2022). Obesity and maternal-placental-fetal immunology and health. Frontiers in Pediatrics, 10, 859885. doi:10.3389/fped.2022.859885</w:t>
      </w:r>
    </w:p>
    <w:p>
      <w:pPr>
        <w:spacing w:before="40" w:after="40" w:line="252"/>
        <w:ind w:left="720" w:hanging="720"/>
      </w:pPr>
      <w:r>
        <w:rPr>
          <w:rFonts w:ascii="Arial" w:cs="Arial" w:eastAsia="Arial" w:hAnsi="Arial"/>
          <w:color w:val="555555"/>
          <w:sz w:val="20"/>
          <w:szCs w:val="20"/>
        </w:rPr>
        <w:t xml:space="preserve">Psefteli PM, Morris JK, Ehler E, et al. (2023). Sulforaphane induced NRF2 activation in obese pregnancy attenuates developmental redox imbalance and improves early-life cardiovascular function in offspring. Redox Biology, 67, 102883.</w:t>
      </w:r>
    </w:p>
    <w:p>
      <w:pPr>
        <w:spacing w:before="40" w:after="40" w:line="252"/>
        <w:ind w:left="720" w:hanging="720"/>
      </w:pPr>
      <w:r>
        <w:rPr>
          <w:rFonts w:ascii="Arial" w:cs="Arial" w:eastAsia="Arial" w:hAnsi="Arial"/>
          <w:color w:val="555555"/>
          <w:sz w:val="20"/>
          <w:szCs w:val="20"/>
        </w:rPr>
        <w:t xml:space="preserve">Tonolo F, Sandre M, Ferro S, et al. (2020). Milk-derived bioactive peptides exhibit antioxidant activity through the Keap1-Nrf2 signaling pathway. Journal of Functional Foods, 64, 103696. doi:10.1016/j.jff.2019.103696</w:t>
      </w:r>
    </w:p>
    <w:p>
      <w:pPr>
        <w:spacing w:before="40" w:after="40" w:line="252"/>
        <w:ind w:left="720" w:hanging="720"/>
      </w:pPr>
      <w:r>
        <w:rPr>
          <w:rFonts w:ascii="Arial" w:cs="Arial" w:eastAsia="Arial" w:hAnsi="Arial"/>
          <w:color w:val="555555"/>
          <w:sz w:val="20"/>
          <w:szCs w:val="20"/>
        </w:rPr>
        <w:t xml:space="preserve">Truong N, Menon R, Richardson L. (2023). The role of fetal membranes during gestation, at term, and preterm labor. Placenta and Reproductive Medicine, 2(1), 4. doi:10.54844/prm.2022.0296</w:t>
      </w:r>
    </w:p>
    <w:p>
      <w:pPr>
        <w:spacing w:before="40" w:after="40" w:line="252"/>
        <w:ind w:left="720" w:hanging="720"/>
      </w:pPr>
      <w:r>
        <w:rPr>
          <w:rFonts w:ascii="Arial" w:cs="Arial" w:eastAsia="Arial" w:hAnsi="Arial"/>
          <w:color w:val="555555"/>
          <w:sz w:val="20"/>
          <w:szCs w:val="20"/>
        </w:rPr>
        <w:t xml:space="preserve">Verza FA, da Silva GC, Nishimura FG. (2025). The impact of oxidative stress and the NRF2-KEAP1-ARE signaling pathway on anticancer drug resistance. Exploration of Medicine, 6, 1001367.</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555555"/>
        <w:sz w:val="18"/>
        <w:szCs w:val="18"/>
      </w:rPr>
      <w:t xml:space="preserve">Revisión preparatoria | INPer 2025</w:t>
    </w:r>
    <w:r>
      <w:rPr>
        <w:rFonts w:ascii="Arial" w:cs="Arial" w:eastAsia="Arial" w:hAnsi="Arial"/>
        <w:color w:val="555555"/>
        <w:sz w:val="18"/>
        <w:szCs w:val="18"/>
      </w:rPr>
      <w:t xml:space="preserve">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20"/>
    </w:pPr>
    <w:r>
      <w:rPr>
        <w:rFonts w:ascii="Arial" w:cs="Arial" w:eastAsia="Arial" w:hAnsi="Arial"/>
        <w:i/>
        <w:iCs/>
        <w:color w:val="2E75B6"/>
        <w:sz w:val="18"/>
        <w:szCs w:val="18"/>
      </w:rPr>
      <w:t xml:space="preserve">Revisión de Literatura</w:t>
    </w:r>
    <w:r>
      <w:rPr>
        <w:rFonts w:ascii="Arial" w:cs="Arial" w:eastAsia="Arial" w:hAnsi="Arial"/>
        <w:i/>
        <w:iCs/>
        <w:color w:val="555555"/>
        <w:sz w:val="18"/>
        <w:szCs w:val="18"/>
      </w:rPr>
      <w:t xml:space="preserve">	Membranas Fetales · Obesidad Materna · Nrf2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788"/>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2026-03-28T22:13:18.182Z</dcterms:created>
  <dcterms:modified xsi:type="dcterms:W3CDTF">2026-03-28T22:13:18.182Z</dcterms:modified>
</cp:coreProperties>
</file>

<file path=docProps/custom.xml><?xml version="1.0" encoding="utf-8"?>
<Properties xmlns="http://schemas.openxmlformats.org/officeDocument/2006/custom-properties" xmlns:vt="http://schemas.openxmlformats.org/officeDocument/2006/docPropsVTypes"/>
</file>