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86"/>
        <w:gridCol w:w="4586"/>
      </w:tblGrid>
      <w:tr>
        <w:tc>
          <w:tcPr>
            <w:tcW w:type="dxa" w:w="4608"/>
            <w:tcMar>
              <w:top w:w="50" w:type="dxa"/>
              <w:bottom w:w="50" w:type="dxa"/>
              <w:left w:w="50" w:type="dxa"/>
              <w:right w:w="50" w:type="dxa"/>
            </w:tcMar>
            <w:tcBorders>
              <w:top w:val="single" w:sz="6" w:space="0" w:color="A0AEC0"/>
              <w:bottom w:val="single" w:sz="6" w:space="0" w:color="A0AEC0"/>
              <w:left w:val="single" w:sz="6" w:space="0" w:color="A0AEC0"/>
              <w:right w:val="single" w:sz="6" w:space="0" w:color="A0AEC0"/>
            </w:tcBorders>
            <w:shd w:fill="F7FAFC"/>
          </w:tcPr>
          <w:p>
            <w:pPr>
              <w:jc w:val="center"/>
            </w:pPr>
            <w:r>
              <w:rPr>
                <w:rFonts w:ascii="Calibri" w:hAnsi="Calibri"/>
                <w:b/>
                <w:color w:val="1B365D"/>
                <w:sz w:val="17"/>
              </w:rPr>
              <w:t>ÉCOLE SUPÉRIEURE PRIVÉE</w:t>
              <w:br/>
              <w:t>D'INGÉNIERIE ET DE TECHNOLOGIE</w:t>
              <w:br/>
            </w:r>
            <w:r>
              <w:rPr>
                <w:rFonts w:ascii="Calibri" w:hAnsi="Calibri"/>
                <w:i/>
                <w:color w:val="718096"/>
                <w:sz w:val="16"/>
              </w:rPr>
              <w:t>[ Emplacement Logo Officiel ESPRIT ]</w:t>
            </w:r>
          </w:p>
        </w:tc>
        <w:tc>
          <w:tcPr>
            <w:tcW w:type="dxa" w:w="4608"/>
            <w:tcMar>
              <w:top w:w="50" w:type="dxa"/>
              <w:bottom w:w="50" w:type="dxa"/>
              <w:left w:w="50" w:type="dxa"/>
              <w:right w:w="50" w:type="dxa"/>
            </w:tcMar>
          </w:tcPr>
          <w:p>
            <w:pPr>
              <w:jc w:val="right"/>
            </w:pPr>
            <w:r>
              <w:drawing>
                <wp:inline xmlns:a="http://schemas.openxmlformats.org/drawingml/2006/main" xmlns:pic="http://schemas.openxmlformats.org/drawingml/2006/picture">
                  <wp:extent cx="1645920" cy="710273"/>
                  <wp:docPr id="1" name="Picture 1"/>
                  <wp:cNvGraphicFramePr>
                    <a:graphicFrameLocks noChangeAspect="1"/>
                  </wp:cNvGraphicFramePr>
                  <a:graphic>
                    <a:graphicData uri="http://schemas.openxmlformats.org/drawingml/2006/picture">
                      <pic:pic>
                        <pic:nvPicPr>
                          <pic:cNvPr id="0" name="logo_csi_digital.png"/>
                          <pic:cNvPicPr/>
                        </pic:nvPicPr>
                        <pic:blipFill>
                          <a:blip r:embed="rId11"/>
                          <a:stretch>
                            <a:fillRect/>
                          </a:stretch>
                        </pic:blipFill>
                        <pic:spPr>
                          <a:xfrm>
                            <a:off x="0" y="0"/>
                            <a:ext cx="1645920" cy="710273"/>
                          </a:xfrm>
                          <a:prstGeom prst="rect"/>
                        </pic:spPr>
                      </pic:pic>
                    </a:graphicData>
                  </a:graphic>
                </wp:inline>
              </w:drawing>
            </w:r>
          </w:p>
        </w:tc>
      </w:tr>
    </w:tbl>
    <w:p>
      <w:pPr>
        <w:spacing w:before="600" w:after="0"/>
      </w:pPr>
    </w:p>
    <w:p>
      <w:pPr>
        <w:spacing w:after="80"/>
        <w:jc w:val="center"/>
      </w:pPr>
      <w:r>
        <w:rPr>
          <w:rFonts w:ascii="Calibri" w:hAnsi="Calibri"/>
          <w:b/>
          <w:color w:val="2B6CB0"/>
          <w:sz w:val="26"/>
        </w:rPr>
        <w:t>RAPPORT DE STAGE DE FIN D'ÉTUDES</w:t>
      </w:r>
    </w:p>
    <w:p>
      <w:pPr>
        <w:spacing w:after="360"/>
        <w:jc w:val="center"/>
      </w:pPr>
      <w:r>
        <w:rPr>
          <w:rFonts w:ascii="Calibri" w:hAnsi="Calibri"/>
          <w:i/>
          <w:color w:val="718096"/>
          <w:sz w:val="22"/>
        </w:rPr>
        <w:t>En vue de l'obtention du Diplôme National d'Ingénieur en Informatique</w:t>
      </w:r>
    </w:p>
    <w:tbl>
      <w:tblPr>
        <w:tblW w:type="auto" w:w="0"/>
        <w:jc w:val="center"/>
        <w:tblLook w:firstColumn="1" w:firstRow="1" w:lastColumn="0" w:lastRow="0" w:noHBand="0" w:noVBand="1" w:val="04A0"/>
      </w:tblPr>
      <w:tblGrid>
        <w:gridCol w:w="9173"/>
      </w:tblGrid>
      <w:tr>
        <w:tc>
          <w:tcPr>
            <w:tcW w:type="dxa" w:w="9360"/>
            <w:shd w:fill="F0F4F8"/>
            <w:tcMar>
              <w:top w:w="140" w:type="dxa"/>
              <w:bottom w:w="140" w:type="dxa"/>
              <w:left w:w="180" w:type="dxa"/>
              <w:right w:w="180" w:type="dxa"/>
            </w:tcMar>
            <w:tcBorders>
              <w:top w:val="none"/>
              <w:bottom w:val="none"/>
              <w:left w:val="single" w:sz="36" w:space="0" w:color="1B365D"/>
              <w:right w:val="none"/>
            </w:tcBorders>
          </w:tcPr>
          <w:p>
            <w:pPr>
              <w:spacing w:after="40"/>
              <w:jc w:val="left"/>
            </w:pPr>
            <w:r>
              <w:rPr>
                <w:rFonts w:ascii="Calibri" w:hAnsi="Calibri"/>
                <w:b/>
                <w:color w:val="1B365D"/>
                <w:sz w:val="20"/>
              </w:rPr>
              <w:t>SUJET DU STAGE :</w:t>
            </w:r>
          </w:p>
          <w:p>
            <w:pPr>
              <w:spacing w:line="288" w:lineRule="auto" w:after="0"/>
              <w:jc w:val="left"/>
            </w:pPr>
            <w:r>
              <w:rPr>
                <w:rFonts w:ascii="Calibri" w:hAnsi="Calibri"/>
                <w:b/>
                <w:color w:val="1B365D"/>
                <w:sz w:val="28"/>
              </w:rPr>
              <w:t>« Conception et développement d'une application web RH permettant de gérer les employés et les contrats de travail »</w:t>
            </w:r>
          </w:p>
        </w:tc>
      </w:tr>
    </w:tbl>
    <w:p>
      <w:pPr>
        <w:spacing w:before="700" w:after="0"/>
      </w:pPr>
    </w:p>
    <w:tbl>
      <w:tblPr>
        <w:tblW w:type="auto" w:w="0"/>
        <w:jc w:val="center"/>
        <w:tblLayout w:type="fixed"/>
        <w:tblLook w:firstColumn="1" w:firstRow="1" w:lastColumn="0" w:lastRow="0" w:noHBand="0" w:noVBand="1" w:val="04A0"/>
      </w:tblPr>
      <w:tblGrid>
        <w:gridCol w:w="4586"/>
        <w:gridCol w:w="4586"/>
      </w:tblGrid>
      <w:tr>
        <w:tc>
          <w:tcPr>
            <w:tcW w:type="dxa" w:w="4608"/>
            <w:tcMar>
              <w:top w:w="80" w:type="dxa"/>
              <w:bottom w:w="80" w:type="dxa"/>
              <w:left w:w="80" w:type="dxa"/>
              <w:right w:w="80" w:type="dxa"/>
            </w:tcMar>
          </w:tcPr>
          <w:p>
            <w:pPr>
              <w:spacing w:line="276" w:lineRule="auto" w:after="0"/>
            </w:pPr>
            <w:r>
              <w:rPr>
                <w:b/>
                <w:color w:val="718096"/>
                <w:sz w:val="20"/>
              </w:rPr>
              <w:t>Réalisé par :</w:t>
              <w:br/>
            </w:r>
            <w:r>
              <w:rPr>
                <w:b/>
                <w:color w:val="1B365D"/>
                <w:sz w:val="24"/>
              </w:rPr>
              <w:t>Sahli Yakine Eddine</w:t>
              <w:br/>
            </w:r>
            <w:r>
              <w:rPr>
                <w:color w:val="2D3748"/>
                <w:sz w:val="19"/>
              </w:rPr>
              <w:t>Élève Ingénieur — ESPRIT</w:t>
            </w:r>
          </w:p>
        </w:tc>
        <w:tc>
          <w:tcPr>
            <w:tcW w:type="dxa" w:w="4608"/>
            <w:tcMar>
              <w:top w:w="80" w:type="dxa"/>
              <w:bottom w:w="80" w:type="dxa"/>
              <w:left w:w="80" w:type="dxa"/>
              <w:right w:w="80" w:type="dxa"/>
            </w:tcMar>
          </w:tcPr>
          <w:p>
            <w:pPr>
              <w:spacing w:line="276" w:lineRule="auto" w:after="0"/>
            </w:pPr>
            <w:r>
              <w:rPr>
                <w:b/>
                <w:color w:val="718096"/>
                <w:sz w:val="20"/>
              </w:rPr>
              <w:t>Encadré par :</w:t>
              <w:br/>
            </w:r>
            <w:r>
              <w:rPr>
                <w:b/>
                <w:color w:val="1B365D"/>
                <w:sz w:val="24"/>
              </w:rPr>
              <w:t>Mme Kharbech Rayen</w:t>
              <w:br/>
            </w:r>
            <w:r>
              <w:rPr>
                <w:color w:val="2D3748"/>
                <w:sz w:val="19"/>
              </w:rPr>
              <w:t>Encadrante Entreprise — CSI Digital</w:t>
            </w:r>
          </w:p>
        </w:tc>
      </w:tr>
    </w:tbl>
    <w:p>
      <w:pPr>
        <w:spacing w:before="900" w:after="0"/>
      </w:pPr>
    </w:p>
    <w:p>
      <w:pPr>
        <w:spacing w:line="288" w:lineRule="auto" w:after="0"/>
        <w:jc w:val="center"/>
      </w:pPr>
      <w:r>
        <w:rPr>
          <w:b/>
          <w:color w:val="1B365D"/>
          <w:sz w:val="20"/>
        </w:rPr>
        <w:t>École Supérieure Privée d'Ingénierie et de Technologie (ESPRIT)</w:t>
        <w:br/>
      </w:r>
      <w:r>
        <w:rPr>
          <w:color w:val="2D3748"/>
          <w:sz w:val="19"/>
        </w:rPr>
        <w:t>Entreprise d'accueil : CSI Digital</w:t>
        <w:br/>
      </w:r>
      <w:r>
        <w:rPr>
          <w:b/>
          <w:color w:val="2B6CB0"/>
          <w:sz w:val="20"/>
        </w:rPr>
        <w:t>Année Universitaire : 2025 – 2026</w:t>
      </w:r>
    </w:p>
    <w:p>
      <w:r>
        <w:br w:type="page"/>
      </w:r>
    </w:p>
    <w:p>
      <w:pPr>
        <w:keepNext/>
        <w:spacing w:before="320" w:after="160"/>
      </w:pPr>
      <w:r>
        <w:rPr>
          <w:rFonts w:ascii="Calibri" w:hAnsi="Calibri"/>
          <w:b/>
          <w:color w:val="1B365D"/>
          <w:sz w:val="32"/>
        </w:rPr>
        <w:t>REMERCIEMENTS</w:t>
      </w:r>
    </w:p>
    <w:p>
      <w:pPr>
        <w:spacing w:line="276" w:lineRule="auto" w:after="160"/>
        <w:jc w:val="both"/>
      </w:pPr>
      <w:r>
        <w:rPr>
          <w:rFonts w:ascii="Calibri" w:hAnsi="Calibri"/>
          <w:color w:val="2D3748"/>
          <w:sz w:val="20"/>
        </w:rPr>
        <w:t>Au terme de ce projet de fin d'études, je tiens à exprimer ma profonde gratitude et mes sincères remerciements à toutes les personnes qui ont contribué, de près ou de loin, à l'aboutissement de ce travail d'ingénierie.</w:t>
      </w:r>
    </w:p>
    <w:p>
      <w:pPr>
        <w:spacing w:line="276" w:lineRule="auto" w:after="120"/>
        <w:jc w:val="both"/>
      </w:pPr>
      <w:r>
        <w:rPr>
          <w:rFonts w:ascii="Calibri" w:hAnsi="Calibri"/>
          <w:b/>
          <w:color w:val="1B365D"/>
          <w:sz w:val="20"/>
        </w:rPr>
        <w:t xml:space="preserve">À Mme Kharbech Rayen : </w:t>
      </w:r>
      <w:r>
        <w:rPr>
          <w:rFonts w:ascii="Calibri" w:hAnsi="Calibri"/>
          <w:color w:val="2D3748"/>
          <w:sz w:val="20"/>
        </w:rPr>
        <w:t xml:space="preserve">Je tiens tout d'abord à adresser mes remerciements les plus chaleureux et les plus respectueux à mon encadrante professionnelle chez CSI Digital, </w:t>
      </w:r>
    </w:p>
    <w:p>
      <w:pPr>
        <w:spacing w:line="276" w:lineRule="auto" w:after="160"/>
        <w:jc w:val="both"/>
      </w:pPr>
      <w:r>
        <w:rPr>
          <w:rFonts w:ascii="Calibri" w:hAnsi="Calibri"/>
          <w:i/>
          <w:color w:val="2D3748"/>
          <w:sz w:val="20"/>
        </w:rPr>
        <w:t>pour sa confiance constante, ses précieux conseils techniques et méthodologiques, sa disponibilité sans faille et son sens aigu du détail. Ses orientations éclairées tout au long des cycles de développement m'ont permis de surmonter les défis fonctionnels et d'élever l'application aux standards d'excellence exigés en environnement d'entreprise.</w:t>
      </w:r>
    </w:p>
    <w:p>
      <w:pPr>
        <w:spacing w:line="276" w:lineRule="auto" w:after="120"/>
        <w:jc w:val="both"/>
      </w:pPr>
      <w:r>
        <w:rPr>
          <w:rFonts w:ascii="Calibri" w:hAnsi="Calibri"/>
          <w:b/>
          <w:color w:val="1B365D"/>
          <w:sz w:val="20"/>
        </w:rPr>
        <w:t xml:space="preserve">À la société CSI Digital : </w:t>
      </w:r>
      <w:r>
        <w:rPr>
          <w:rFonts w:ascii="Calibri" w:hAnsi="Calibri"/>
          <w:color w:val="2D3748"/>
          <w:sz w:val="20"/>
        </w:rPr>
        <w:t xml:space="preserve">J'exprime également ma sincère reconnaissance à l'ensemble de la direction et des équipes de </w:t>
      </w:r>
    </w:p>
    <w:p>
      <w:pPr>
        <w:spacing w:line="276" w:lineRule="auto" w:after="160"/>
        <w:jc w:val="both"/>
      </w:pPr>
      <w:r>
        <w:rPr>
          <w:rFonts w:ascii="Calibri" w:hAnsi="Calibri"/>
          <w:i/>
          <w:color w:val="2D3748"/>
          <w:sz w:val="20"/>
        </w:rPr>
        <w:t>pour la qualité de l'accueil qui m'a été réservé durant mon stage. Évoluer au sein d'une structure dynamique, innovante et à taille humaine a constitué une expérience professionnelle extrêmement enrichissante sur les plans technique, organisationnel et relationnel.</w:t>
      </w:r>
    </w:p>
    <w:p>
      <w:pPr>
        <w:spacing w:line="276" w:lineRule="auto" w:after="120"/>
        <w:jc w:val="both"/>
      </w:pPr>
      <w:r>
        <w:rPr>
          <w:rFonts w:ascii="Calibri" w:hAnsi="Calibri"/>
          <w:b/>
          <w:color w:val="1B365D"/>
          <w:sz w:val="20"/>
        </w:rPr>
        <w:t xml:space="preserve">À l'équipe pédagogique d'ESPRIT : </w:t>
      </w:r>
      <w:r>
        <w:rPr>
          <w:rFonts w:ascii="Calibri" w:hAnsi="Calibri"/>
          <w:color w:val="2D3748"/>
          <w:sz w:val="20"/>
        </w:rPr>
        <w:t xml:space="preserve">Mes vifs remerciements s'adressent également au corps professoral et à l'équipe pédagogique de </w:t>
      </w:r>
    </w:p>
    <w:p>
      <w:pPr>
        <w:spacing w:line="276" w:lineRule="auto" w:after="160"/>
        <w:jc w:val="both"/>
      </w:pPr>
      <w:r>
        <w:rPr>
          <w:rFonts w:ascii="Calibri" w:hAnsi="Calibri"/>
          <w:i/>
          <w:color w:val="2D3748"/>
          <w:sz w:val="20"/>
        </w:rPr>
        <w:t>qui ont assuré avec rigueur et dévouement ma formation d'ingénieur. La solidité des bases théoriques et pratiques dispensées au sein de notre école a été un atout déterminant pour concevoir et mener à bien une solution logicielle complète et robuste.</w:t>
      </w:r>
    </w:p>
    <w:p>
      <w:pPr>
        <w:spacing w:line="276" w:lineRule="auto" w:after="280"/>
        <w:jc w:val="both"/>
      </w:pPr>
      <w:r>
        <w:rPr>
          <w:rFonts w:ascii="Calibri" w:hAnsi="Calibri"/>
          <w:color w:val="2D3748"/>
          <w:sz w:val="20"/>
        </w:rPr>
        <w:t>J'adresse enfin mes plus tendres pensées et ma reconnaissance éternelle à mes parents, à ma famille et à mes proches pour leurs encouragements continus, leur soutien indéfectible et les sacrifices consentis tout au long de mon parcours académique.</w:t>
      </w:r>
    </w:p>
    <w:p>
      <w:pPr>
        <w:jc w:val="right"/>
      </w:pPr>
      <w:r>
        <w:rPr>
          <w:rFonts w:ascii="Calibri" w:hAnsi="Calibri"/>
          <w:b/>
          <w:color w:val="1B365D"/>
          <w:sz w:val="22"/>
        </w:rPr>
        <w:t>Sahli Yakine Eddine</w:t>
      </w:r>
    </w:p>
    <w:p>
      <w:r>
        <w:br w:type="page"/>
      </w:r>
    </w:p>
    <w:p>
      <w:pPr>
        <w:keepNext/>
        <w:spacing w:before="320" w:after="160"/>
      </w:pPr>
      <w:r>
        <w:rPr>
          <w:rFonts w:ascii="Calibri" w:hAnsi="Calibri"/>
          <w:b/>
          <w:color w:val="1B365D"/>
          <w:sz w:val="32"/>
        </w:rPr>
        <w:t>RÉSUMÉ</w:t>
      </w:r>
    </w:p>
    <w:p>
      <w:pPr>
        <w:spacing w:line="276" w:lineRule="auto" w:after="120"/>
        <w:jc w:val="both"/>
      </w:pPr>
      <w:r>
        <w:rPr>
          <w:rFonts w:ascii="Calibri" w:hAnsi="Calibri"/>
          <w:color w:val="2D3748"/>
          <w:sz w:val="20"/>
        </w:rPr>
        <w:t>La gestion administrative des ressources humaines et le cycle d'élaboration des contrats de travail constituent des processus stratégiques mais fréquemment pénalisés par des méthodes traditionnelles disparates (fichiers tableurs non synchronisés, documents textuels non structurés et suivi manuel des échéances). Ce projet, mené au sein de l'entreprise CSI Digital, a pour objectif la conception et le développement d'une application web RH globale, moderne et sécurisée, dédiée à la gestion centralisée des collaborateurs et à l'automatisation contractuelle.</w:t>
      </w:r>
    </w:p>
    <w:p>
      <w:pPr>
        <w:spacing w:line="276" w:lineRule="auto" w:after="120"/>
        <w:jc w:val="both"/>
      </w:pPr>
      <w:r>
        <w:rPr>
          <w:rFonts w:ascii="Calibri" w:hAnsi="Calibri"/>
          <w:color w:val="2D3748"/>
          <w:sz w:val="20"/>
        </w:rPr>
        <w:t>L'application repose sur une architecture modulaire trois-tiers intégrant un backend asynchrone haute performance conçu avec FastAPI (Python) et un frontend réactif et ergonomique sous React 18. Le cœur fonctionnel du système s'articule autour d'une bibliothèque d'articles contractuels modulaires et réutilisables, enrichie d'un Assistant d'Intelligence Artificielle générative exploitant l'API Google Gemini pour assister le responsable RH dans la rédaction et la structuration de clauses complexes (y compris sous forme de tableaux natifs de rémunération). L'application implémente un workflow rigoureux de statuts de contrats (Brouillon, Communiqué, Signé, Actif, Fin CDD, Démission CDI, Pas discuté, Inactif), un moteur d'alertes préventives dédupliquées pour les échéances de fin de CDD à 30, 15 et 7 jours, l'envoi d'emails transactionnels via l'API Brevo, la traçabilité intégrale des opérations via un journal d'audit granulaire (AuditLog), ainsi qu'un espace collaborateur en libre-service restreint.</w:t>
      </w:r>
    </w:p>
    <w:p>
      <w:pPr>
        <w:spacing w:line="276" w:lineRule="auto" w:after="160"/>
        <w:jc w:val="both"/>
      </w:pPr>
      <w:r>
        <w:rPr>
          <w:rFonts w:ascii="Calibri" w:hAnsi="Calibri"/>
          <w:color w:val="2D3748"/>
          <w:sz w:val="20"/>
        </w:rPr>
        <w:t>L'application a été rigoureusement validée par une suite de 78 tests automatisés (Pytest / Unittest) couvrant la sécurité, la logique métier et la robustesse des intégrations.</w:t>
      </w:r>
    </w:p>
    <w:p>
      <w:pPr>
        <w:spacing w:line="276" w:lineRule="auto" w:after="360"/>
        <w:jc w:val="both"/>
      </w:pPr>
      <w:r>
        <w:rPr>
          <w:rFonts w:ascii="Calibri" w:hAnsi="Calibri"/>
          <w:b/>
          <w:color w:val="1B365D"/>
          <w:sz w:val="20"/>
        </w:rPr>
        <w:t xml:space="preserve">Mots-clés : </w:t>
      </w:r>
      <w:r>
        <w:rPr>
          <w:rFonts w:ascii="Calibri" w:hAnsi="Calibri"/>
          <w:i/>
          <w:color w:val="2D3748"/>
          <w:sz w:val="20"/>
        </w:rPr>
        <w:t>Gestion RH, Contrats de travail, FastAPI, Python, React 18, PostgreSQL, Intelligence Artificielle, Google Gemini, Bibliothèque de clauses, Génération DOCX, Brevo API, Audit Logs, Sécurité JWT.</w:t>
      </w:r>
    </w:p>
    <w:p>
      <w:pPr>
        <w:keepNext/>
        <w:spacing w:before="320" w:after="160"/>
      </w:pPr>
      <w:r>
        <w:rPr>
          <w:rFonts w:ascii="Calibri" w:hAnsi="Calibri"/>
          <w:b/>
          <w:color w:val="1B365D"/>
          <w:sz w:val="32"/>
        </w:rPr>
        <w:t>ABSTRACT</w:t>
      </w:r>
    </w:p>
    <w:p>
      <w:pPr>
        <w:spacing w:line="276" w:lineRule="auto" w:after="120"/>
        <w:jc w:val="both"/>
      </w:pPr>
      <w:r>
        <w:rPr>
          <w:rFonts w:ascii="Calibri" w:hAnsi="Calibri"/>
          <w:color w:val="2D3748"/>
          <w:sz w:val="20"/>
        </w:rPr>
        <w:t>Human Resources administrative management and the employment contract lifecycle represent critical operational processes that are often hindered by fragmented traditional methods, such as unsynchronized spreadsheets, unstandardized word documents, and manual deadline tracking. This graduation project, carried out at CSI Digital, aims to design and develop a comprehensive, state-of-the-art, and secure HR web application dedicated to centralized employee records and automated contract management.</w:t>
      </w:r>
    </w:p>
    <w:p>
      <w:pPr>
        <w:spacing w:line="276" w:lineRule="auto" w:after="120"/>
        <w:jc w:val="both"/>
      </w:pPr>
      <w:r>
        <w:rPr>
          <w:rFonts w:ascii="Calibri" w:hAnsi="Calibri"/>
          <w:color w:val="2D3748"/>
          <w:sz w:val="20"/>
        </w:rPr>
        <w:t>The software is built upon a decoupled three-tier architecture featuring a high-performance asynchronous backend powered by FastAPI (Python) and an interactive, responsive Single Page Application implemented with React 18. The functional core is centered on a reusable modular library of contract clauses, enhanced by an AI Drafting Assistant utilizing Google Gemini API to assist HR managers in generating and formatting specialized clauses, including native compensation tables. The platform establishes an end-to-end business state machine for employment contracts (Draft, Communicated, Signed, Active, Fixed-term End, Resignation, Undiscussed, Inactive), an automated notification engine preventing duplicates for fixed-term expirations at 30, 15, and 7 days, transactional email delivery via Brevo API, a comprehensive audit trail with change deltas, and a secure employee self-service portal.</w:t>
      </w:r>
    </w:p>
    <w:p>
      <w:pPr>
        <w:spacing w:line="276" w:lineRule="auto" w:after="160"/>
        <w:jc w:val="both"/>
      </w:pPr>
      <w:r>
        <w:rPr>
          <w:rFonts w:ascii="Calibri" w:hAnsi="Calibri"/>
          <w:color w:val="2D3748"/>
          <w:sz w:val="20"/>
        </w:rPr>
        <w:t>The system has been thoroughly validated through a test suite of 78 automated tests (Pytest / Unittest), achieving complete coverage of security controls, business constraints, and external integrations.</w:t>
      </w:r>
    </w:p>
    <w:p>
      <w:pPr>
        <w:spacing w:line="276" w:lineRule="auto" w:after="240"/>
        <w:jc w:val="both"/>
      </w:pPr>
      <w:r>
        <w:rPr>
          <w:rFonts w:ascii="Calibri" w:hAnsi="Calibri"/>
          <w:b/>
          <w:color w:val="1B365D"/>
          <w:sz w:val="20"/>
        </w:rPr>
        <w:t xml:space="preserve">Keywords : </w:t>
      </w:r>
      <w:r>
        <w:rPr>
          <w:rFonts w:ascii="Calibri" w:hAnsi="Calibri"/>
          <w:i/>
          <w:color w:val="2D3748"/>
          <w:sz w:val="20"/>
        </w:rPr>
        <w:t>HR Management, Employment Contracts, FastAPI, Python, React 18, PostgreSQL, Artificial Intelligence, Google Gemini, Clause Library, DOCX Generation, Brevo API, Audit Trail, JWT Security.</w:t>
      </w:r>
    </w:p>
    <w:p>
      <w:r>
        <w:br w:type="page"/>
      </w:r>
    </w:p>
    <w:p>
      <w:pPr>
        <w:keepNext/>
        <w:spacing w:before="320" w:after="160"/>
      </w:pPr>
      <w:r>
        <w:rPr>
          <w:rFonts w:ascii="Calibri" w:hAnsi="Calibri"/>
          <w:b/>
          <w:color w:val="1B365D"/>
          <w:sz w:val="32"/>
        </w:rPr>
        <w:t>TABLE DES MATIÈRES</w:t>
      </w:r>
    </w:p>
    <w:tbl>
      <w:tblPr>
        <w:tblW w:type="auto" w:w="0"/>
        <w:jc w:val="center"/>
        <w:tblLayout w:type="fixed"/>
        <w:tblLook w:firstColumn="1" w:firstRow="1" w:lastColumn="0" w:lastRow="0" w:noHBand="0" w:noVBand="1" w:val="04A0"/>
      </w:tblPr>
      <w:tblGrid>
        <w:gridCol w:w="4586"/>
        <w:gridCol w:w="4586"/>
      </w:tblGrid>
      <w:tr>
        <w:tc>
          <w:tcPr>
            <w:tcW w:type="dxa" w:w="792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Section / Chapitre</w:t>
            </w:r>
          </w:p>
        </w:tc>
        <w:tc>
          <w:tcPr>
            <w:tcW w:type="dxa" w:w="129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Page</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REMERCIEMENTS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RÉSUMÉ &amp; ABSTRACT</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TABLE DES MATIÈRES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4</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LISTE DES FIGURES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5</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LISTE DES TABLEAUX</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6</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LISTE DES ABRÉVIATIONS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6</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INTRODUCTION GÉNÉRALE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7</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1 : CONTEXTE GÉNÉRAL DU PROJET</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9</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1.1 Introduction</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9</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1.2 Présentation de l'Entreprise d'Accueil (CSI Digital)</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9</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1.3 Contexte et Cadre du Stage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9</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1.4 Problématique de la Gestion RH Traditionnelle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1.5 Étude de l'Existant et Analyse Critique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1.6 Solution Proposée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1.7 Objectifs Globaux du Projet</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11</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1.8 Méthodologie de Travail (Scrum / Agile)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11</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1.9 Conclusion du Chapitre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11</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2 : ANALYSE ET SPÉCIFICATION DES BESOINS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2.1 Introduction</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2.2 Identification des Acteurs du Système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2.3 Spécification des Besoins Fonctionnels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2.4 Spécification des Besoins Non Fonctionnels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13</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2.5 Règles de Gestion et Cohérence Métier</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14</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2.6 Diagramme Global des Cas d'Utilisation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14</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2.7 Description des Cas d'Utilisation Principaux</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15</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2.8 Conclusion du Chapitre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15</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3 : CONCEPTION ET ARCHITECTURE TECHNIQUE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3.1 Introduction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3.2 Architecture Globale 3-Tiers du Système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3.3 Architecture Détaillée du Backend FastAPI</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17</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3.4 Architecture Détaillée du Frontend React</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17</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3.5 Modélisation des Données et Diagramme de Classes UML</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18</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3.6 Conception Dynamique et Diagrammes de Séquence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19</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3.7 Modélisation du Cycle de Vie des Contrats (Machine à États)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20</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3.8 Sécurité, Authentification et Contrôle d'Accès (RBAC)</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20</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3.9 Justification des Choix Technologiques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21</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3.10 Conclusion du Chapitre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21</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4 : RÉALISATION ET MISE EN ŒUVRE DE L'APPLICATION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 Introduction</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4.2 Environnement de Développement et Outillage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4.3 Module d'Authentification et Gestion des Sessions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4.4 Module de Gestion des Dossiers Collaborateurs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23</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4.5 Bibliothèque d'Articles Contractuels Réutilisables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23</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4.6 Assistant IA pour la Rédaction de Clauses Contractuelles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24</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4.7 Gestion des Contrats et Nouveaux Workflows de Statuts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25</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4.8 Moteur de Génération Automatique des Documents Word (.docx)</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26</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4.9 Système de Traçabilité et Journal d'Audit (Audit Logs)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26</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4.10 Moteur d'Alertes RH et Notifications Dédupliquées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27</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4.11 Service Transactionnel d'Emails (API Brevo)</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27</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4.12 Espace Dédié Collaborateur (Self-Service)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27</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4.13 Galerie Commentée des Interfaces Utilisateur</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4.14 Conclusion du Chapitre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5 : TESTS, VALIDATION ET ASSURANCE QUALITÉ</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29</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5.1 Introduction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29</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5.2 Stratégie Globale de Test</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29</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5.3 Tests Backend Automatisés (Pytest / Unittest - 78 tests)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29</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5.4 Tests des Transitions de Statuts et Cohérence des Contrats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30</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5.5 Tests du Moteur d'Alertes et Idempotence de la Déduplication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30</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5.6 Tests du Service IA et Fallback Structuré</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31</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5.7 Tests de Sécurité et Résistance aux Attaques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31</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5.8 Tests d'Intégration Frontend et Validation Ergonomique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31</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5.9 Matrice Récapitulative et Taux de Réussite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5.10 Difficultés Rencontrées et Solutions Techniques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32</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5.11 Conclusion du Chapitre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32</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CHAPITRE 6 : BILAN, COMPÉTENCES ET PERSPECTIVES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33</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6.1 Bilan Global du Projet</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33</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6.2 Compétences Techniques et Humaines Acquises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33</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6.3 Limites Actuelles de la Solution</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34</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6.4 Perspectives d'Évolution et Travaux Futurs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34</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 xml:space="preserve">    6.5 Conclusion du Chapitre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34</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CONCLUSION GÉNÉRALE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35</w:t>
            </w:r>
          </w:p>
        </w:tc>
      </w:tr>
      <w:tr>
        <w:tc>
          <w:tcPr>
            <w:tcW w:type="dxa" w:w="792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BIBLIOGRAPHIE ET WEBOGRAPHIE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35</w:t>
            </w:r>
          </w:p>
        </w:tc>
      </w:tr>
      <w:tr>
        <w:tc>
          <w:tcPr>
            <w:tcW w:type="dxa" w:w="792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ANNEXES</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36</w:t>
            </w:r>
          </w:p>
        </w:tc>
      </w:tr>
    </w:tbl>
    <w:p>
      <w:pPr>
        <w:spacing w:after="100"/>
      </w:pPr>
    </w:p>
    <w:p>
      <w:r>
        <w:br w:type="page"/>
      </w:r>
    </w:p>
    <w:p>
      <w:pPr>
        <w:keepNext/>
        <w:spacing w:before="320" w:after="160"/>
      </w:pPr>
      <w:r>
        <w:rPr>
          <w:rFonts w:ascii="Calibri" w:hAnsi="Calibri"/>
          <w:b/>
          <w:color w:val="1B365D"/>
          <w:sz w:val="32"/>
        </w:rPr>
        <w:t>LISTE DES FIGURES</w:t>
      </w:r>
    </w:p>
    <w:tbl>
      <w:tblPr>
        <w:tblW w:type="auto" w:w="0"/>
        <w:jc w:val="center"/>
        <w:tblLayout w:type="fixed"/>
        <w:tblLook w:firstColumn="1" w:firstRow="1" w:lastColumn="0" w:lastRow="0" w:noHBand="0" w:noVBand="1" w:val="04A0"/>
      </w:tblPr>
      <w:tblGrid>
        <w:gridCol w:w="3058"/>
        <w:gridCol w:w="3058"/>
        <w:gridCol w:w="3058"/>
      </w:tblGrid>
      <w:tr>
        <w:tc>
          <w:tcPr>
            <w:tcW w:type="dxa" w:w="1584"/>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Figure</w:t>
            </w:r>
          </w:p>
        </w:tc>
        <w:tc>
          <w:tcPr>
            <w:tcW w:type="dxa" w:w="648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Titre de la Figure</w:t>
            </w:r>
          </w:p>
        </w:tc>
        <w:tc>
          <w:tcPr>
            <w:tcW w:type="dxa" w:w="11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Page</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Diagramme Global des Cas d'Utilisation UML</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14</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2</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Architecture Globale 3-Tiers de l'Application RH</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3</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Diagramme de Classes Métier UML et Schéma ORM</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4</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Diagramme de Séquence : Authentification Sécurisée JWT</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19</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5</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Diagramme de Séquence : Rédaction de Clause via l'Assistant IA</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19</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6</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Machine à États &amp; Cycle de Vie des Statuts de Contrats</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20</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7</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Interface de Connexion Sécurisée</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8</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Tableau de Bord &amp; Gestion des Collaborateurs</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9</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Bibliothèque des Articles Contractuels Réutilisables</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10</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Modale de Création d'un Nouvel Article Contractuel</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11</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Assistant IA : Prompt et Configuration de la Clause</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12</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Assistant IA : Rendu Structuré avec Tableau de Rémunération</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13</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des Contrats de Travail avec Nouveaux Badges de Statuts</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14</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Centre de Gestion des Alertes et Notifications RH</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15</w:t>
            </w:r>
          </w:p>
        </w:tc>
        <w:tc>
          <w:tcPr>
            <w:tcW w:type="dxa" w:w="648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Journal d'Audit Centralisé avec Historique et Filtres</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r>
        <w:tc>
          <w:tcPr>
            <w:tcW w:type="dxa" w:w="158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Figure 16</w:t>
            </w:r>
          </w:p>
        </w:tc>
        <w:tc>
          <w:tcPr>
            <w:tcW w:type="dxa" w:w="648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Espace Collaborateur Dédié (Consultation du Contrat Actif)</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28</w:t>
            </w:r>
          </w:p>
        </w:tc>
      </w:tr>
    </w:tbl>
    <w:p>
      <w:pPr>
        <w:spacing w:after="100"/>
      </w:pPr>
    </w:p>
    <w:p>
      <w:pPr>
        <w:keepNext/>
        <w:spacing w:before="320" w:after="160"/>
      </w:pPr>
      <w:r>
        <w:rPr>
          <w:rFonts w:ascii="Calibri" w:hAnsi="Calibri"/>
          <w:b/>
          <w:color w:val="1B365D"/>
          <w:sz w:val="32"/>
        </w:rPr>
        <w:t>LISTE DES TABLEAUX</w:t>
      </w:r>
    </w:p>
    <w:tbl>
      <w:tblPr>
        <w:tblW w:type="auto" w:w="0"/>
        <w:jc w:val="center"/>
        <w:tblLayout w:type="fixed"/>
        <w:tblLook w:firstColumn="1" w:firstRow="1" w:lastColumn="0" w:lastRow="0" w:noHBand="0" w:noVBand="1" w:val="04A0"/>
      </w:tblPr>
      <w:tblGrid>
        <w:gridCol w:w="3058"/>
        <w:gridCol w:w="3058"/>
        <w:gridCol w:w="3058"/>
      </w:tblGrid>
      <w:tr>
        <w:tc>
          <w:tcPr>
            <w:tcW w:type="dxa" w:w="172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Tableau</w:t>
            </w:r>
          </w:p>
        </w:tc>
        <w:tc>
          <w:tcPr>
            <w:tcW w:type="dxa" w:w="633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Titre du Tableau</w:t>
            </w:r>
          </w:p>
        </w:tc>
        <w:tc>
          <w:tcPr>
            <w:tcW w:type="dxa" w:w="11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Page</w:t>
            </w:r>
          </w:p>
        </w:tc>
      </w:tr>
      <w:tr>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1</w:t>
            </w:r>
          </w:p>
        </w:tc>
        <w:tc>
          <w:tcPr>
            <w:tcW w:type="dxa" w:w="633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Objectifs Spécifiques du Projet RH</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11</w:t>
            </w:r>
          </w:p>
        </w:tc>
      </w:tr>
      <w:tr>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2</w:t>
            </w:r>
          </w:p>
        </w:tc>
        <w:tc>
          <w:tcPr>
            <w:tcW w:type="dxa" w:w="633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Spécification des Besoins Fonctionnels (BF-01 à BF-25)</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13</w:t>
            </w:r>
          </w:p>
        </w:tc>
      </w:tr>
      <w:tr>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3</w:t>
            </w:r>
          </w:p>
        </w:tc>
        <w:tc>
          <w:tcPr>
            <w:tcW w:type="dxa" w:w="633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Spécification des Besoins Non Fonctionnels</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13</w:t>
            </w:r>
          </w:p>
        </w:tc>
      </w:tr>
      <w:tr>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4</w:t>
            </w:r>
          </w:p>
        </w:tc>
        <w:tc>
          <w:tcPr>
            <w:tcW w:type="dxa" w:w="633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Nomenclature et Règles des Nouveaux Statuts de Contrats</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20</w:t>
            </w:r>
          </w:p>
        </w:tc>
      </w:tr>
      <w:tr>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5</w:t>
            </w:r>
          </w:p>
        </w:tc>
        <w:tc>
          <w:tcPr>
            <w:tcW w:type="dxa" w:w="633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Comparatif et Justification des Choix Technologiques</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21</w:t>
            </w:r>
          </w:p>
        </w:tc>
      </w:tr>
      <w:tr>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6</w:t>
            </w:r>
          </w:p>
        </w:tc>
        <w:tc>
          <w:tcPr>
            <w:tcW w:type="dxa" w:w="633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Synthèse de la Suite de Tests Backend Automatisés (78 tests)</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30</w:t>
            </w:r>
          </w:p>
        </w:tc>
      </w:tr>
      <w:tr>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7</w:t>
            </w:r>
          </w:p>
        </w:tc>
        <w:tc>
          <w:tcPr>
            <w:tcW w:type="dxa" w:w="633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Matrice de Couverture des Tests et Validation Fonctionnelle</w:t>
            </w:r>
          </w:p>
        </w:tc>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32</w:t>
            </w:r>
          </w:p>
        </w:tc>
      </w:tr>
      <w:tr>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Tableau 8</w:t>
            </w:r>
          </w:p>
        </w:tc>
        <w:tc>
          <w:tcPr>
            <w:tcW w:type="dxa" w:w="633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Matrice des Principaux Endpoints de l'API REST</w:t>
            </w:r>
          </w:p>
        </w:tc>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36</w:t>
            </w:r>
          </w:p>
        </w:tc>
      </w:tr>
    </w:tbl>
    <w:p>
      <w:pPr>
        <w:spacing w:after="100"/>
      </w:pPr>
    </w:p>
    <w:p>
      <w:pPr>
        <w:keepNext/>
        <w:spacing w:before="320" w:after="160"/>
      </w:pPr>
      <w:r>
        <w:rPr>
          <w:rFonts w:ascii="Calibri" w:hAnsi="Calibri"/>
          <w:b/>
          <w:color w:val="1B365D"/>
          <w:sz w:val="32"/>
        </w:rPr>
        <w:t>LISTE DES ABRÉVIATIONS</w:t>
      </w:r>
    </w:p>
    <w:tbl>
      <w:tblPr>
        <w:tblW w:type="auto" w:w="0"/>
        <w:jc w:val="center"/>
        <w:tblLayout w:type="fixed"/>
        <w:tblLook w:firstColumn="1" w:firstRow="1" w:lastColumn="0" w:lastRow="0" w:noHBand="0" w:noVBand="1" w:val="04A0"/>
      </w:tblPr>
      <w:tblGrid>
        <w:gridCol w:w="4586"/>
        <w:gridCol w:w="4586"/>
      </w:tblGrid>
      <w:tr>
        <w:tc>
          <w:tcPr>
            <w:tcW w:type="dxa" w:w="216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Sigle</w:t>
            </w:r>
          </w:p>
        </w:tc>
        <w:tc>
          <w:tcPr>
            <w:tcW w:type="dxa" w:w="705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Signification Détaillée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API</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Application Programming Interface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REST</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Representational State Transfer</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JWT</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JSON Web Token</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RBAC</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Role-Based Access Control</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CRUD</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Create, Read, Update, Delete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ORM</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Object-Relational Mapping</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SQL</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Structured Query Language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JSON</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JavaScript Object Notation</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JSONB</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Binary JSON (Format optimisé PostgreSQL)</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SPA</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Single Page Application</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UI / UX</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User Interface / User Experience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IA / AI</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Intelligence Artificielle / Artificial Intelligence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LLM</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Large Language Model</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CDI</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à Durée Indéterminée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CDD</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à Durée Déterminée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DOCX</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Document XML Microsoft Word</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SMTP</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Simple Mail Transfer Protocol</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CORS</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Cross-Origin Resource Sharing</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XSS</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Cross-Site Scripting</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CSRF</w:t>
            </w:r>
          </w:p>
        </w:tc>
        <w:tc>
          <w:tcPr>
            <w:tcW w:type="dxa" w:w="705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Cross-Site Request Forgery</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ACID</w:t>
            </w:r>
          </w:p>
        </w:tc>
        <w:tc>
          <w:tcPr>
            <w:tcW w:type="dxa" w:w="705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Atomicité, Cohérence, Isolation, Durabilité</w:t>
            </w:r>
          </w:p>
        </w:tc>
      </w:tr>
    </w:tbl>
    <w:p>
      <w:pPr>
        <w:spacing w:after="100"/>
      </w:pPr>
    </w:p>
    <w:p>
      <w:r>
        <w:br w:type="page"/>
      </w:r>
    </w:p>
    <w:p>
      <w:pPr>
        <w:keepNext/>
        <w:spacing w:before="320" w:after="160"/>
      </w:pPr>
      <w:r>
        <w:rPr>
          <w:rFonts w:ascii="Calibri" w:hAnsi="Calibri"/>
          <w:b/>
          <w:color w:val="1B365D"/>
          <w:sz w:val="32"/>
        </w:rPr>
        <w:t>INTRODUCTION GÉNÉRALE</w:t>
      </w:r>
    </w:p>
    <w:p>
      <w:pPr>
        <w:spacing w:line="276" w:lineRule="auto" w:after="120"/>
        <w:jc w:val="both"/>
      </w:pPr>
      <w:r>
        <w:rPr>
          <w:rFonts w:ascii="Calibri" w:hAnsi="Calibri"/>
          <w:color w:val="2D3748"/>
          <w:sz w:val="20"/>
        </w:rPr>
        <w:t>La transformation numérique des processus d'entreprise constitue aujourd'hui un levier fondamental de performance et de compétitivité. Au cœur de cette dynamique, la gestion des ressources humaines (RH) a profondément évolué : autrefois cantonnée à des tâches purement administratives et d'archivage matériel, elle exige désormais une réactivité immédiate, une traçabilité rigoureuse et une conformité juridique sans faille.</w:t>
      </w:r>
    </w:p>
    <w:p>
      <w:pPr>
        <w:spacing w:line="276" w:lineRule="auto" w:after="120"/>
        <w:jc w:val="both"/>
      </w:pPr>
      <w:r>
        <w:rPr>
          <w:rFonts w:ascii="Calibri" w:hAnsi="Calibri"/>
          <w:color w:val="2D3748"/>
          <w:sz w:val="20"/>
        </w:rPr>
        <w:t>Parmi les missions les plus sensibles et récurrentes incombant aux directions des ressources humaines figure la gestion du cycle de vie contractuel des collaborateurs : de la création de la fiche employé à la rédaction individualisée du contrat de travail, en passant par le suivi rigoureux des périodes d'essai, des renouvellements, des échéances de CDD et des clôtures administratives. Dans de nombreuses organisations, cette gestion demeure encore aujourd'hui tributaire d'outils bureautiques non interconnectés (feuilles de calcul Excel, modèles de documents Word dupliqués manuellement, échanges de courriers électroniques non centralisés). Ces méthodes traditionnelles révèlent rapidement de sévères limites : multiplication des erreurs humaines de ressaisie, risque élevé d'incohérences juridiques, absence de visibilité en temps réel sur les échéances critiques et vulnérabilités manifestes en matière de sécurité et de confidentialité des données à caractère personnel.</w:t>
      </w:r>
    </w:p>
    <w:p>
      <w:pPr>
        <w:spacing w:line="276" w:lineRule="auto" w:after="120"/>
        <w:jc w:val="both"/>
      </w:pPr>
      <w:r>
        <w:rPr>
          <w:rFonts w:ascii="Calibri" w:hAnsi="Calibri"/>
          <w:color w:val="2D3748"/>
          <w:sz w:val="20"/>
        </w:rPr>
        <w:t>C'est dans ce contexte stimulant que s'inscrit le stage de fin d'études que j'ai réalisé au sein de la société CSI Digital. Le projet qui m'a été confié, intitulé « Conception et développement d'une application web RH permettant de gérer les employés et les contrats de travail », a pour vocation de concevoir et d'implémenter une solution web centralisée, pérenne, hautement ergonomique et sécurisée, répondant avec précision aux besoins réels de gestion des collaborateurs et de leurs engagements contractuels.</w:t>
      </w:r>
    </w:p>
    <w:p>
      <w:pPr>
        <w:spacing w:line="276" w:lineRule="auto" w:after="80"/>
        <w:jc w:val="both"/>
      </w:pPr>
      <w:r>
        <w:rPr>
          <w:rFonts w:ascii="Calibri" w:hAnsi="Calibri"/>
          <w:color w:val="2D3748"/>
          <w:sz w:val="20"/>
        </w:rPr>
        <w:t>Pour atteindre cet objectif avec un niveau de qualité industriel et académique élevé, l'application développée propose des innovations fonctionnelles et techniques majeures :</w:t>
      </w:r>
    </w:p>
    <w:p>
      <w:pPr>
        <w:pStyle w:val="ListBullet"/>
        <w:spacing w:line="276" w:lineRule="auto" w:after="50"/>
        <w:jc w:val="both"/>
      </w:pPr>
      <w:r>
        <w:rPr>
          <w:rFonts w:ascii="Calibri" w:hAnsi="Calibri"/>
          <w:b/>
          <w:color w:val="1B365D"/>
          <w:sz w:val="19"/>
        </w:rPr>
        <w:t xml:space="preserve">Gestion Administrative : </w:t>
      </w:r>
      <w:r>
        <w:rPr>
          <w:rFonts w:ascii="Calibri" w:hAnsi="Calibri"/>
          <w:color w:val="2D3748"/>
          <w:sz w:val="19"/>
        </w:rPr>
        <w:t>Centralisation intégrale des dossiers administratifs et historiques des employés avec contrôle d'accès basé sur les rôles (RBAC).</w:t>
      </w:r>
    </w:p>
    <w:p>
      <w:pPr>
        <w:pStyle w:val="ListBullet"/>
        <w:spacing w:line="276" w:lineRule="auto" w:after="50"/>
        <w:jc w:val="both"/>
      </w:pPr>
      <w:r>
        <w:rPr>
          <w:rFonts w:ascii="Calibri" w:hAnsi="Calibri"/>
          <w:b/>
          <w:color w:val="1B365D"/>
          <w:sz w:val="19"/>
        </w:rPr>
        <w:t xml:space="preserve">Bibliothèque d'Articles : </w:t>
      </w:r>
      <w:r>
        <w:rPr>
          <w:rFonts w:ascii="Calibri" w:hAnsi="Calibri"/>
          <w:color w:val="2D3748"/>
          <w:sz w:val="19"/>
        </w:rPr>
        <w:t>Mise en place d'un catalogue de clauses contractuelles personnalisables, assemblables dynamiquement lors de la création d'un contrat.</w:t>
      </w:r>
    </w:p>
    <w:p>
      <w:pPr>
        <w:pStyle w:val="ListBullet"/>
        <w:spacing w:line="276" w:lineRule="auto" w:after="50"/>
        <w:jc w:val="both"/>
      </w:pPr>
      <w:r>
        <w:rPr>
          <w:rFonts w:ascii="Calibri" w:hAnsi="Calibri"/>
          <w:b/>
          <w:color w:val="1B365D"/>
          <w:sz w:val="19"/>
        </w:rPr>
        <w:t xml:space="preserve">Assistant IA Métier : </w:t>
      </w:r>
      <w:r>
        <w:rPr>
          <w:rFonts w:ascii="Calibri" w:hAnsi="Calibri"/>
          <w:color w:val="2D3748"/>
          <w:sz w:val="19"/>
        </w:rPr>
        <w:t>Intégration native d'un modèle d'Intelligence Artificielle générative (Google Gemini) pour assister le responsable RH dans la rédaction et la mise en forme de clauses juridiques complexes, y compris sous forme de tableaux structurés.</w:t>
      </w:r>
    </w:p>
    <w:p>
      <w:pPr>
        <w:pStyle w:val="ListBullet"/>
        <w:spacing w:line="276" w:lineRule="auto" w:after="50"/>
        <w:jc w:val="both"/>
      </w:pPr>
      <w:r>
        <w:rPr>
          <w:rFonts w:ascii="Calibri" w:hAnsi="Calibri"/>
          <w:b/>
          <w:color w:val="1B365D"/>
          <w:sz w:val="19"/>
        </w:rPr>
        <w:t xml:space="preserve">Cycle de Vie Contractuel : </w:t>
      </w:r>
      <w:r>
        <w:rPr>
          <w:rFonts w:ascii="Calibri" w:hAnsi="Calibri"/>
          <w:color w:val="2D3748"/>
          <w:sz w:val="19"/>
        </w:rPr>
        <w:t>Implémentation d'une machine à états finis garantissant des transitions de statuts rigoureuses (Brouillon, Communiqué, Signé, Actif, Fin CDD, Démission CDI, Pas discuté, Inactif) adaptées aux spécificités de chaque type de contrat.</w:t>
      </w:r>
    </w:p>
    <w:p>
      <w:pPr>
        <w:pStyle w:val="ListBullet"/>
        <w:spacing w:line="276" w:lineRule="auto" w:after="50"/>
        <w:jc w:val="both"/>
      </w:pPr>
      <w:r>
        <w:rPr>
          <w:rFonts w:ascii="Calibri" w:hAnsi="Calibri"/>
          <w:b/>
          <w:color w:val="1B365D"/>
          <w:sz w:val="19"/>
        </w:rPr>
        <w:t xml:space="preserve">Automatisation &amp; Alertes : </w:t>
      </w:r>
      <w:r>
        <w:rPr>
          <w:rFonts w:ascii="Calibri" w:hAnsi="Calibri"/>
          <w:color w:val="2D3748"/>
          <w:sz w:val="19"/>
        </w:rPr>
        <w:t>Automatisation de la génération des documents officiels Word (.docx), du moteur d'alertes d'expiration à 30, 15 et 7 jours avec déduplication, et de l'envoi d'emails transactionnels via l'API Brevo.</w:t>
      </w:r>
    </w:p>
    <w:p>
      <w:pPr>
        <w:pStyle w:val="ListBullet"/>
        <w:spacing w:line="276" w:lineRule="auto" w:after="50"/>
        <w:jc w:val="both"/>
      </w:pPr>
      <w:r>
        <w:rPr>
          <w:rFonts w:ascii="Calibri" w:hAnsi="Calibri"/>
          <w:b/>
          <w:color w:val="1B365D"/>
          <w:sz w:val="19"/>
        </w:rPr>
        <w:t xml:space="preserve">Portail Collaborateur &amp; Audit : </w:t>
      </w:r>
      <w:r>
        <w:rPr>
          <w:rFonts w:ascii="Calibri" w:hAnsi="Calibri"/>
          <w:color w:val="2D3748"/>
          <w:sz w:val="19"/>
        </w:rPr>
        <w:t>Mise à disposition d'une interface en libre-service sécurisée pour les employés, complétée par un journal d'audit granulaire consignant chaque action administrative.</w:t>
      </w:r>
    </w:p>
    <w:p>
      <w:pPr>
        <w:spacing w:line="276" w:lineRule="auto" w:after="80"/>
        <w:jc w:val="both"/>
      </w:pPr>
      <w:r>
        <w:rPr>
          <w:rFonts w:ascii="Calibri" w:hAnsi="Calibri"/>
          <w:color w:val="2D3748"/>
          <w:sz w:val="20"/>
        </w:rPr>
        <w:t>Afin de rendre compte de l'ensemble de la démarche méthodologique, scientifique et technique menée durant ce stage, le présent rapport est structuré en six chapitres complémentaires :</w:t>
      </w:r>
    </w:p>
    <w:p>
      <w:pPr>
        <w:pStyle w:val="ListBullet"/>
        <w:spacing w:line="276" w:lineRule="auto" w:after="50"/>
        <w:jc w:val="both"/>
      </w:pPr>
      <w:r>
        <w:rPr>
          <w:rFonts w:ascii="Calibri" w:hAnsi="Calibri"/>
          <w:b/>
          <w:color w:val="1B365D"/>
          <w:sz w:val="19"/>
        </w:rPr>
        <w:t xml:space="preserve">Le Chapitre 1 (Contexte Général du Projet) : </w:t>
      </w:r>
      <w:r>
        <w:rPr>
          <w:rFonts w:ascii="Calibri" w:hAnsi="Calibri"/>
          <w:color w:val="2D3748"/>
          <w:sz w:val="19"/>
        </w:rPr>
        <w:t>situe le projet dans son contexte industriel chez CSI Digital, expose la problématique rencontrée, étudie l'existant et définit la méthodologie de gestion de projet adoptée.</w:t>
      </w:r>
    </w:p>
    <w:p>
      <w:pPr>
        <w:pStyle w:val="ListBullet"/>
        <w:spacing w:line="276" w:lineRule="auto" w:after="50"/>
        <w:jc w:val="both"/>
      </w:pPr>
      <w:r>
        <w:rPr>
          <w:rFonts w:ascii="Calibri" w:hAnsi="Calibri"/>
          <w:b/>
          <w:color w:val="1B365D"/>
          <w:sz w:val="19"/>
        </w:rPr>
        <w:t xml:space="preserve">Le Chapitre 2 (Analyse et Spécification des Besoins) : </w:t>
      </w:r>
      <w:r>
        <w:rPr>
          <w:rFonts w:ascii="Calibri" w:hAnsi="Calibri"/>
          <w:color w:val="2D3748"/>
          <w:sz w:val="19"/>
        </w:rPr>
        <w:t>détaille l'identification des acteurs, formalise les besoins fonctionnels et non fonctionnels, définit les règles de gestion et modélise les cas d'utilisation UML.</w:t>
      </w:r>
    </w:p>
    <w:p>
      <w:pPr>
        <w:pStyle w:val="ListBullet"/>
        <w:spacing w:line="276" w:lineRule="auto" w:after="50"/>
        <w:jc w:val="both"/>
      </w:pPr>
      <w:r>
        <w:rPr>
          <w:rFonts w:ascii="Calibri" w:hAnsi="Calibri"/>
          <w:b/>
          <w:color w:val="1B365D"/>
          <w:sz w:val="19"/>
        </w:rPr>
        <w:t xml:space="preserve">Le Chapitre 3 (Conception et Architecture) : </w:t>
      </w:r>
      <w:r>
        <w:rPr>
          <w:rFonts w:ascii="Calibri" w:hAnsi="Calibri"/>
          <w:color w:val="2D3748"/>
          <w:sz w:val="19"/>
        </w:rPr>
        <w:t>présente l'architecture logicielle globale 3-tiers, justifie les choix technologiques, et détaille les modélisations statiques et dynamiques (diagrammes de classes, de séquences et cycle de vie des statuts).</w:t>
      </w:r>
    </w:p>
    <w:p>
      <w:pPr>
        <w:pStyle w:val="ListBullet"/>
        <w:spacing w:line="276" w:lineRule="auto" w:after="50"/>
        <w:jc w:val="both"/>
      </w:pPr>
      <w:r>
        <w:rPr>
          <w:rFonts w:ascii="Calibri" w:hAnsi="Calibri"/>
          <w:b/>
          <w:color w:val="1B365D"/>
          <w:sz w:val="19"/>
        </w:rPr>
        <w:t xml:space="preserve">Le Chapitre 4 (Réalisation de l'Application) : </w:t>
      </w:r>
      <w:r>
        <w:rPr>
          <w:rFonts w:ascii="Calibri" w:hAnsi="Calibri"/>
          <w:color w:val="2D3748"/>
          <w:sz w:val="19"/>
        </w:rPr>
        <w:t>expose la réalisation concrète des différents modules de l'application, l'intégration de l'Assistant IA, le moteur d'alertes et présente une galerie d'interfaces commentées.</w:t>
      </w:r>
    </w:p>
    <w:p>
      <w:pPr>
        <w:pStyle w:val="ListBullet"/>
        <w:spacing w:line="276" w:lineRule="auto" w:after="50"/>
        <w:jc w:val="both"/>
      </w:pPr>
      <w:r>
        <w:rPr>
          <w:rFonts w:ascii="Calibri" w:hAnsi="Calibri"/>
          <w:b/>
          <w:color w:val="1B365D"/>
          <w:sz w:val="19"/>
        </w:rPr>
        <w:t xml:space="preserve">Le Chapitre 5 (Tests et Validation) : </w:t>
      </w:r>
      <w:r>
        <w:rPr>
          <w:rFonts w:ascii="Calibri" w:hAnsi="Calibri"/>
          <w:color w:val="2D3748"/>
          <w:sz w:val="19"/>
        </w:rPr>
        <w:t>détaille la stratégie de qualification, expose les résultats des 78 tests automatisés, analyse la sécurité du système et présente les difficultés résolues.</w:t>
      </w:r>
    </w:p>
    <w:p>
      <w:pPr>
        <w:pStyle w:val="ListBullet"/>
        <w:spacing w:line="276" w:lineRule="auto" w:after="50"/>
        <w:jc w:val="both"/>
      </w:pPr>
      <w:r>
        <w:rPr>
          <w:rFonts w:ascii="Calibri" w:hAnsi="Calibri"/>
          <w:b/>
          <w:color w:val="1B365D"/>
          <w:sz w:val="19"/>
        </w:rPr>
        <w:t xml:space="preserve">Le Chapitre 6 (Bilan et Perspectives) : </w:t>
      </w:r>
      <w:r>
        <w:rPr>
          <w:rFonts w:ascii="Calibri" w:hAnsi="Calibri"/>
          <w:color w:val="2D3748"/>
          <w:sz w:val="19"/>
        </w:rPr>
        <w:t>dresse le bilan des compétences acquises, souligne les limites du prototype actuel et ouvre des perspectives concrètes d'évolution future.</w:t>
      </w:r>
    </w:p>
    <w:p>
      <w:pPr>
        <w:spacing w:line="276" w:lineRule="auto" w:after="160"/>
        <w:jc w:val="both"/>
      </w:pPr>
      <w:r>
        <w:rPr>
          <w:rFonts w:ascii="Calibri" w:hAnsi="Calibri"/>
          <w:color w:val="2D3748"/>
          <w:sz w:val="20"/>
        </w:rPr>
        <w:t>Le document se clôture par une conclusion générale résumant les apports du projet, suivie des références bibliographiques et des annexes techniques.</w:t>
      </w:r>
    </w:p>
    <w:p>
      <w:r>
        <w:br w:type="page"/>
      </w:r>
    </w:p>
    <w:p>
      <w:pPr>
        <w:keepNext/>
        <w:spacing w:before="320" w:after="160"/>
      </w:pPr>
      <w:r>
        <w:rPr>
          <w:rFonts w:ascii="Calibri" w:hAnsi="Calibri"/>
          <w:b/>
          <w:color w:val="1B365D"/>
          <w:sz w:val="32"/>
        </w:rPr>
        <w:t>CHAPITRE 1 : CONTEXTE GÉNÉRAL DU PROJET</w:t>
      </w:r>
    </w:p>
    <w:p>
      <w:pPr>
        <w:keepNext/>
        <w:spacing w:before="240" w:after="100"/>
      </w:pPr>
      <w:r>
        <w:rPr>
          <w:rFonts w:ascii="Calibri" w:hAnsi="Calibri"/>
          <w:b/>
          <w:color w:val="2B6CB0"/>
          <w:sz w:val="26"/>
        </w:rPr>
        <w:t>1.1 Introduction</w:t>
      </w:r>
    </w:p>
    <w:p>
      <w:pPr>
        <w:spacing w:line="276" w:lineRule="auto" w:after="160"/>
        <w:jc w:val="both"/>
      </w:pPr>
      <w:r>
        <w:rPr>
          <w:rFonts w:ascii="Calibri" w:hAnsi="Calibri"/>
          <w:color w:val="2D3748"/>
          <w:sz w:val="20"/>
        </w:rPr>
        <w:t>Ce premier chapitre pose les bases contextuelles et méthodologiques du projet. Il présente tout d'abord l'organisme d'accueil, CSI Digital, ainsi que le cadre général dans lequel s'est déroulé ce stage de fin d'études. Il expose ensuite de manière détaillée la problématique de la gestion manuelle des ressources humaines, analyse les limites des solutions existantes, formalise les objectifs assignés à la nouvelle application et décrit la démarche méthodologique agile adoptée pour mener à bien les développements.</w:t>
      </w:r>
    </w:p>
    <w:p>
      <w:pPr>
        <w:keepNext/>
        <w:spacing w:before="240" w:after="100"/>
      </w:pPr>
      <w:r>
        <w:rPr>
          <w:rFonts w:ascii="Calibri" w:hAnsi="Calibri"/>
          <w:b/>
          <w:color w:val="2B6CB0"/>
          <w:sz w:val="26"/>
        </w:rPr>
        <w:t>1.2 Présentation de l'Entreprise d'Accueil (CSI Digital)</w:t>
      </w:r>
    </w:p>
    <w:p>
      <w:pPr>
        <w:spacing w:line="276" w:lineRule="auto" w:after="120"/>
        <w:jc w:val="both"/>
      </w:pPr>
      <w:r>
        <w:rPr>
          <w:rFonts w:ascii="Calibri" w:hAnsi="Calibri"/>
          <w:color w:val="2D3748"/>
          <w:sz w:val="20"/>
        </w:rPr>
        <w:t>CSI Digital est une entreprise innovante spécialisée dans le conseil en technologies de l'information, l'ingénierie logicielle et l'accompagnement à la transformation digitale des organisations. Forte d'une équipe pluridisciplinaire d'ingénieurs et de consultants, l'entreprise conçoit des solutions logicielles sur mesure destinées à optimiser les processus métiers de ses clients dans des secteurs variés (finance, commerce, industrie, services et gestion administrative).</w:t>
      </w:r>
    </w:p>
    <w:p>
      <w:pPr>
        <w:spacing w:line="276" w:lineRule="auto" w:after="160"/>
        <w:jc w:val="both"/>
      </w:pPr>
      <w:r>
        <w:rPr>
          <w:rFonts w:ascii="Calibri" w:hAnsi="Calibri"/>
          <w:color w:val="2D3748"/>
          <w:sz w:val="20"/>
        </w:rPr>
        <w:t>Dans le cadre de sa croissance et du renforcement de ses opérations internes, CSI Digital accorde une priorité stratégique à l'excellence opérationnelle et à l'automatisation de ses propres flux de travail. C'est dans cette optique que s'inscrit la volonté de moderniser la gestion interne des ressources humaines et le suivi des contrats de travail de ses collaborateurs.</w:t>
      </w:r>
    </w:p>
    <w:p>
      <w:pPr>
        <w:keepNext/>
        <w:spacing w:before="240" w:after="100"/>
      </w:pPr>
      <w:r>
        <w:rPr>
          <w:rFonts w:ascii="Calibri" w:hAnsi="Calibri"/>
          <w:b/>
          <w:color w:val="2B6CB0"/>
          <w:sz w:val="26"/>
        </w:rPr>
        <w:t>1.3 Contexte et Cadre du Stage</w:t>
      </w:r>
    </w:p>
    <w:p>
      <w:pPr>
        <w:spacing w:line="276" w:lineRule="auto" w:after="120"/>
        <w:jc w:val="both"/>
      </w:pPr>
      <w:r>
        <w:rPr>
          <w:rFonts w:ascii="Calibri" w:hAnsi="Calibri"/>
          <w:color w:val="2D3748"/>
          <w:sz w:val="20"/>
        </w:rPr>
        <w:t>Le stage de fin d'études s'est déroulé sur une période de plusieurs mois au sein du département d'ingénierie logicielle de CSI Digital, sous la supervision attentive de Mme Kharbech Rayen. Ce projet s'inscrit dans le cadre de la validation du Diplôme National d'Ingénieur en Informatique de l'École Supérieure Privée d'Ingénierie et de Technologie (ESPRIT).</w:t>
      </w:r>
    </w:p>
    <w:p>
      <w:pPr>
        <w:spacing w:line="276" w:lineRule="auto" w:after="160"/>
        <w:jc w:val="both"/>
      </w:pPr>
      <w:r>
        <w:rPr>
          <w:rFonts w:ascii="Calibri" w:hAnsi="Calibri"/>
          <w:color w:val="2D3748"/>
          <w:sz w:val="20"/>
        </w:rPr>
        <w:t>Ce projet a offert une opportunité privilégiée de conjuguer rigueur académique (méthodes d'analyse, modélisation UML, génie logiciel) et exigences professionnelles concrètes (respect des délais, contraintes de sécurité en environnement d'entreprise, robustesse logicielle et intégration d'outils modernes tels que l'Intelligence Artificielle générative).</w:t>
      </w:r>
    </w:p>
    <w:p>
      <w:pPr>
        <w:keepNext/>
        <w:spacing w:before="240" w:after="100"/>
      </w:pPr>
      <w:r>
        <w:rPr>
          <w:rFonts w:ascii="Calibri" w:hAnsi="Calibri"/>
          <w:b/>
          <w:color w:val="2B6CB0"/>
          <w:sz w:val="26"/>
        </w:rPr>
        <w:t>1.4 Problématique de la Gestion RH Traditionnelle</w:t>
      </w:r>
    </w:p>
    <w:p>
      <w:pPr>
        <w:spacing w:line="276" w:lineRule="auto" w:after="100"/>
        <w:jc w:val="both"/>
      </w:pPr>
      <w:r>
        <w:rPr>
          <w:rFonts w:ascii="Calibri" w:hAnsi="Calibri"/>
          <w:color w:val="2D3748"/>
          <w:sz w:val="20"/>
        </w:rPr>
        <w:t>La gestion du capital humain et l'administration des contrats constituent l'épine dorsale de toute organisation. Cependant, de nombreuses entreprises s'appuient encore sur des méthodes artisanales reposant sur des fichiers tableurs (Excel), des modèles bureautiques Word dupliqués manuellement et des dossiers papier éparpillés. Ces pratiques génèrent une série d'écueils majeurs :</w:t>
      </w:r>
    </w:p>
    <w:p>
      <w:pPr>
        <w:pStyle w:val="ListBullet"/>
        <w:spacing w:line="276" w:lineRule="auto" w:after="50"/>
        <w:jc w:val="both"/>
      </w:pPr>
      <w:r>
        <w:rPr>
          <w:rFonts w:ascii="Calibri" w:hAnsi="Calibri"/>
          <w:b/>
          <w:color w:val="1B365D"/>
          <w:sz w:val="19"/>
        </w:rPr>
        <w:t xml:space="preserve">Redondance et erreurs de saisie : </w:t>
      </w:r>
      <w:r>
        <w:rPr>
          <w:rFonts w:ascii="Calibri" w:hAnsi="Calibri"/>
          <w:color w:val="2D3748"/>
          <w:sz w:val="19"/>
        </w:rPr>
        <w:t>La saisie répétitive et non synchronisée des mêmes données (état civil, matricule, poste, dates, rémunération) sur plusieurs supports provoque de fréquents écarts et inexactitudes entre les dossiers administratifs et les contrats officiels.</w:t>
      </w:r>
    </w:p>
    <w:p>
      <w:pPr>
        <w:pStyle w:val="ListBullet"/>
        <w:spacing w:line="276" w:lineRule="auto" w:after="50"/>
        <w:jc w:val="both"/>
      </w:pPr>
      <w:r>
        <w:rPr>
          <w:rFonts w:ascii="Calibri" w:hAnsi="Calibri"/>
          <w:b/>
          <w:color w:val="1B365D"/>
          <w:sz w:val="19"/>
        </w:rPr>
        <w:t xml:space="preserve">Perte de temps en rédaction : </w:t>
      </w:r>
      <w:r>
        <w:rPr>
          <w:rFonts w:ascii="Calibri" w:hAnsi="Calibri"/>
          <w:color w:val="2D3748"/>
          <w:sz w:val="19"/>
        </w:rPr>
        <w:t>La rédaction de chaque contrat à partir d'anciens documents implique des opérations manuelles de copier-coller fastidieuses, chronophages et sources potentielles d'omissions de clauses indispensables.</w:t>
      </w:r>
    </w:p>
    <w:p>
      <w:pPr>
        <w:pStyle w:val="ListBullet"/>
        <w:spacing w:line="276" w:lineRule="auto" w:after="50"/>
        <w:jc w:val="both"/>
      </w:pPr>
      <w:r>
        <w:rPr>
          <w:rFonts w:ascii="Calibri" w:hAnsi="Calibri"/>
          <w:b/>
          <w:color w:val="1B365D"/>
          <w:sz w:val="19"/>
        </w:rPr>
        <w:t xml:space="preserve">Absence de suivi proactif des échéances : </w:t>
      </w:r>
      <w:r>
        <w:rPr>
          <w:rFonts w:ascii="Calibri" w:hAnsi="Calibri"/>
          <w:color w:val="2D3748"/>
          <w:sz w:val="19"/>
        </w:rPr>
        <w:t>Le suivi manuel des dates d'échéance des CDD, des stages et des périodes d'essai s'avère particulièrement défaillant, entraînant parfois le dépassement involontaire de dates limites avec des conséquences juridiques préjudiciables.</w:t>
      </w:r>
    </w:p>
    <w:p>
      <w:pPr>
        <w:pStyle w:val="ListBullet"/>
        <w:spacing w:line="276" w:lineRule="auto" w:after="50"/>
        <w:jc w:val="both"/>
      </w:pPr>
      <w:r>
        <w:rPr>
          <w:rFonts w:ascii="Calibri" w:hAnsi="Calibri"/>
          <w:b/>
          <w:color w:val="1B365D"/>
          <w:sz w:val="19"/>
        </w:rPr>
        <w:t xml:space="preserve">Manque de traçabilité des opérations : </w:t>
      </w:r>
      <w:r>
        <w:rPr>
          <w:rFonts w:ascii="Calibri" w:hAnsi="Calibri"/>
          <w:color w:val="2D3748"/>
          <w:sz w:val="19"/>
        </w:rPr>
        <w:t>L'absence d'un journal d'audit empêche de savoir qui a créé, modifié ou validé un contrat ou une fiche collaborateur, ce qui pose de graves problèmes de traçabilité interne.</w:t>
      </w:r>
    </w:p>
    <w:p>
      <w:pPr>
        <w:pStyle w:val="ListBullet"/>
        <w:spacing w:line="276" w:lineRule="auto" w:after="50"/>
        <w:jc w:val="both"/>
      </w:pPr>
      <w:r>
        <w:rPr>
          <w:rFonts w:ascii="Calibri" w:hAnsi="Calibri"/>
          <w:b/>
          <w:color w:val="1B365D"/>
          <w:sz w:val="19"/>
        </w:rPr>
        <w:t xml:space="preserve">Vulnérabilités de sécurité et conformité : </w:t>
      </w:r>
      <w:r>
        <w:rPr>
          <w:rFonts w:ascii="Calibri" w:hAnsi="Calibri"/>
          <w:color w:val="2D3748"/>
          <w:sz w:val="19"/>
        </w:rPr>
        <w:t>Les données des employés (coordonnées, salaires, contrats) circulent souvent par emails non chiffrés ou sont stockées sur des disques partagés sans contrôle d'accès granulaire, exposant l'entreprise à des risques de fuite de données.</w:t>
      </w:r>
    </w:p>
    <w:p>
      <w:pPr>
        <w:keepNext/>
        <w:spacing w:before="240" w:after="100"/>
      </w:pPr>
      <w:r>
        <w:rPr>
          <w:rFonts w:ascii="Calibri" w:hAnsi="Calibri"/>
          <w:b/>
          <w:color w:val="2B6CB0"/>
          <w:sz w:val="26"/>
        </w:rPr>
        <w:t>1.5 Étude de l'Existant et Limites</w:t>
      </w:r>
    </w:p>
    <w:p>
      <w:pPr>
        <w:spacing w:line="276" w:lineRule="auto" w:after="80"/>
        <w:jc w:val="both"/>
      </w:pPr>
      <w:r>
        <w:rPr>
          <w:rFonts w:ascii="Calibri" w:hAnsi="Calibri"/>
          <w:color w:val="2D3748"/>
          <w:sz w:val="20"/>
        </w:rPr>
        <w:t>L'analyse des pratiques initiales au sein de l'organisation a révélé les limites structurelles suivantes :</w:t>
      </w:r>
    </w:p>
    <w:p>
      <w:pPr>
        <w:pStyle w:val="ListBullet"/>
        <w:spacing w:line="276" w:lineRule="auto" w:after="50"/>
        <w:jc w:val="both"/>
      </w:pPr>
      <w:r>
        <w:rPr>
          <w:rFonts w:ascii="Calibri" w:hAnsi="Calibri"/>
          <w:b/>
          <w:color w:val="1B365D"/>
          <w:sz w:val="19"/>
        </w:rPr>
        <w:t xml:space="preserve">Silos d'informations : </w:t>
      </w:r>
      <w:r>
        <w:rPr>
          <w:rFonts w:ascii="Calibri" w:hAnsi="Calibri"/>
          <w:color w:val="2D3748"/>
          <w:sz w:val="19"/>
        </w:rPr>
        <w:t>Fichiers Excel multiples gérés par différentes personnes, créant des versions contradictoires (perte de la source unique de vérité).</w:t>
      </w:r>
    </w:p>
    <w:p>
      <w:pPr>
        <w:pStyle w:val="ListBullet"/>
        <w:spacing w:line="276" w:lineRule="auto" w:after="50"/>
        <w:jc w:val="both"/>
      </w:pPr>
      <w:r>
        <w:rPr>
          <w:rFonts w:ascii="Calibri" w:hAnsi="Calibri"/>
          <w:b/>
          <w:color w:val="1B365D"/>
          <w:sz w:val="19"/>
        </w:rPr>
        <w:t xml:space="preserve">Hétérogénéité des contrats : </w:t>
      </w:r>
      <w:r>
        <w:rPr>
          <w:rFonts w:ascii="Calibri" w:hAnsi="Calibri"/>
          <w:color w:val="2D3748"/>
          <w:sz w:val="19"/>
        </w:rPr>
        <w:t>Clauses contractuelles rédigées ad-hoc sans bibliothèque standardisée ni réutilisation garantie.</w:t>
      </w:r>
    </w:p>
    <w:p>
      <w:pPr>
        <w:pStyle w:val="ListBullet"/>
        <w:spacing w:line="276" w:lineRule="auto" w:after="50"/>
        <w:jc w:val="both"/>
      </w:pPr>
      <w:r>
        <w:rPr>
          <w:rFonts w:ascii="Calibri" w:hAnsi="Calibri"/>
          <w:b/>
          <w:color w:val="1B365D"/>
          <w:sz w:val="19"/>
        </w:rPr>
        <w:t xml:space="preserve">Risque légal accru : </w:t>
      </w:r>
      <w:r>
        <w:rPr>
          <w:rFonts w:ascii="Calibri" w:hAnsi="Calibri"/>
          <w:color w:val="2D3748"/>
          <w:sz w:val="19"/>
        </w:rPr>
        <w:t>Aucune notification automatique à l'approche de la fin d'un contrat CDD.</w:t>
      </w:r>
    </w:p>
    <w:p>
      <w:pPr>
        <w:pStyle w:val="ListBullet"/>
        <w:spacing w:line="276" w:lineRule="auto" w:after="50"/>
        <w:jc w:val="both"/>
      </w:pPr>
      <w:r>
        <w:rPr>
          <w:rFonts w:ascii="Calibri" w:hAnsi="Calibri"/>
          <w:b/>
          <w:color w:val="1B365D"/>
          <w:sz w:val="19"/>
        </w:rPr>
        <w:t xml:space="preserve">Expérience collaborateur inexistante : </w:t>
      </w:r>
      <w:r>
        <w:rPr>
          <w:rFonts w:ascii="Calibri" w:hAnsi="Calibri"/>
          <w:color w:val="2D3748"/>
          <w:sz w:val="19"/>
        </w:rPr>
        <w:t>Impossibilité pour l'employé de consulter en ligne et en temps réel son contrat actif et ses données personnelles.</w:t>
      </w:r>
    </w:p>
    <w:p>
      <w:pPr>
        <w:keepNext/>
        <w:spacing w:before="240" w:after="100"/>
      </w:pPr>
      <w:r>
        <w:rPr>
          <w:rFonts w:ascii="Calibri" w:hAnsi="Calibri"/>
          <w:b/>
          <w:color w:val="2B6CB0"/>
          <w:sz w:val="26"/>
        </w:rPr>
        <w:t>1.6 Solution Proposée</w:t>
      </w:r>
    </w:p>
    <w:p>
      <w:pPr>
        <w:spacing w:line="276" w:lineRule="auto" w:after="80"/>
        <w:jc w:val="both"/>
      </w:pPr>
      <w:r>
        <w:rPr>
          <w:rFonts w:ascii="Calibri" w:hAnsi="Calibri"/>
          <w:color w:val="2D3748"/>
          <w:sz w:val="20"/>
        </w:rPr>
        <w:t>Pour surmonter définitivement ces écueils, nous avons proposé de concevoir une application web complète, centralisée et modulaire baptisée « Gestion RH &amp; Contrats ». Cette solution apporte une réponse ciblée à chaque faiblesse constatée :</w:t>
      </w:r>
    </w:p>
    <w:p>
      <w:pPr>
        <w:pStyle w:val="ListBullet"/>
        <w:spacing w:line="276" w:lineRule="auto" w:after="50"/>
        <w:jc w:val="both"/>
      </w:pPr>
      <w:r>
        <w:rPr>
          <w:rFonts w:ascii="Calibri" w:hAnsi="Calibri"/>
          <w:b/>
          <w:color w:val="1B365D"/>
          <w:sz w:val="19"/>
        </w:rPr>
        <w:t xml:space="preserve">Source unique de vérité : </w:t>
      </w:r>
      <w:r>
        <w:rPr>
          <w:rFonts w:ascii="Calibri" w:hAnsi="Calibri"/>
          <w:color w:val="2D3748"/>
          <w:sz w:val="19"/>
        </w:rPr>
        <w:t>Une base de données relationnelle unique (PostgreSQL) centralisant l'ensemble des collaborateurs, des contrats et des paramètres administratifs.</w:t>
      </w:r>
    </w:p>
    <w:p>
      <w:pPr>
        <w:pStyle w:val="ListBullet"/>
        <w:spacing w:line="276" w:lineRule="auto" w:after="50"/>
        <w:jc w:val="both"/>
      </w:pPr>
      <w:r>
        <w:rPr>
          <w:rFonts w:ascii="Calibri" w:hAnsi="Calibri"/>
          <w:b/>
          <w:color w:val="1B365D"/>
          <w:sz w:val="19"/>
        </w:rPr>
        <w:t xml:space="preserve">Bibliothèque d'articles modulaires : </w:t>
      </w:r>
      <w:r>
        <w:rPr>
          <w:rFonts w:ascii="Calibri" w:hAnsi="Calibri"/>
          <w:color w:val="2D3748"/>
          <w:sz w:val="19"/>
        </w:rPr>
        <w:t>Un catalogue structuré de clauses contractuelles réutilisables, activables et sélectionnables lors de la création d'un contrat.</w:t>
      </w:r>
    </w:p>
    <w:p>
      <w:pPr>
        <w:pStyle w:val="ListBullet"/>
        <w:spacing w:line="276" w:lineRule="auto" w:after="50"/>
        <w:jc w:val="both"/>
      </w:pPr>
      <w:r>
        <w:rPr>
          <w:rFonts w:ascii="Calibri" w:hAnsi="Calibri"/>
          <w:b/>
          <w:color w:val="1B365D"/>
          <w:sz w:val="19"/>
        </w:rPr>
        <w:t xml:space="preserve">Assistant IA Métier : </w:t>
      </w:r>
      <w:r>
        <w:rPr>
          <w:rFonts w:ascii="Calibri" w:hAnsi="Calibri"/>
          <w:color w:val="2D3748"/>
          <w:sz w:val="19"/>
        </w:rPr>
        <w:t>Un module d'assistance alimenté par Google Gemini permettant au responsable RH de générer en langage naturel des clauses conformes et structurées (incluant des grilles de salaire sous forme de tableaux natifs).</w:t>
      </w:r>
    </w:p>
    <w:p>
      <w:pPr>
        <w:pStyle w:val="ListBullet"/>
        <w:spacing w:line="276" w:lineRule="auto" w:after="50"/>
        <w:jc w:val="both"/>
      </w:pPr>
      <w:r>
        <w:rPr>
          <w:rFonts w:ascii="Calibri" w:hAnsi="Calibri"/>
          <w:b/>
          <w:color w:val="1B365D"/>
          <w:sz w:val="19"/>
        </w:rPr>
        <w:t xml:space="preserve">Alertes &amp; Notifications automatiques : </w:t>
      </w:r>
      <w:r>
        <w:rPr>
          <w:rFonts w:ascii="Calibri" w:hAnsi="Calibri"/>
          <w:color w:val="2D3748"/>
          <w:sz w:val="19"/>
        </w:rPr>
        <w:t>Un moteur d'alerte programmable calculant automatiquement les fins de contrat CDD à 30, 15 et 7 jours, avec déduplication stricte et envoi d'emails transactionnels via Brevo.</w:t>
      </w:r>
    </w:p>
    <w:p>
      <w:pPr>
        <w:pStyle w:val="ListBullet"/>
        <w:spacing w:line="276" w:lineRule="auto" w:after="50"/>
        <w:jc w:val="both"/>
      </w:pPr>
      <w:r>
        <w:rPr>
          <w:rFonts w:ascii="Calibri" w:hAnsi="Calibri"/>
          <w:b/>
          <w:color w:val="1B365D"/>
          <w:sz w:val="19"/>
        </w:rPr>
        <w:t xml:space="preserve">Génération automatisée DOCX : </w:t>
      </w:r>
      <w:r>
        <w:rPr>
          <w:rFonts w:ascii="Calibri" w:hAnsi="Calibri"/>
          <w:color w:val="2D3748"/>
          <w:sz w:val="19"/>
        </w:rPr>
        <w:t>Un assemblage instantané des données de l'employé et des articles sélectionnés pour générer un document Word (.docx) prêt à l'impression et à la signature.</w:t>
      </w:r>
    </w:p>
    <w:p>
      <w:pPr>
        <w:pStyle w:val="ListBullet"/>
        <w:spacing w:line="276" w:lineRule="auto" w:after="50"/>
        <w:jc w:val="both"/>
      </w:pPr>
      <w:r>
        <w:rPr>
          <w:rFonts w:ascii="Calibri" w:hAnsi="Calibri"/>
          <w:b/>
          <w:color w:val="1B365D"/>
          <w:sz w:val="19"/>
        </w:rPr>
        <w:t xml:space="preserve">Sécurité et Espace Collaborateur : </w:t>
      </w:r>
      <w:r>
        <w:rPr>
          <w:rFonts w:ascii="Calibri" w:hAnsi="Calibri"/>
          <w:color w:val="2D3748"/>
          <w:sz w:val="19"/>
        </w:rPr>
        <w:t>Un contrôle d'accès strict basé sur les rôles (Admin RH vs Employé) et un portail collaborateur dédié en lecture seule.</w:t>
      </w:r>
    </w:p>
    <w:p>
      <w:pPr>
        <w:keepNext/>
        <w:spacing w:before="240" w:after="100"/>
      </w:pPr>
      <w:r>
        <w:rPr>
          <w:rFonts w:ascii="Calibri" w:hAnsi="Calibri"/>
          <w:b/>
          <w:color w:val="2B6CB0"/>
          <w:sz w:val="26"/>
        </w:rPr>
        <w:t>1.7 Objectifs Globaux du Projet</w:t>
      </w:r>
    </w:p>
    <w:p>
      <w:pPr>
        <w:spacing w:line="276" w:lineRule="auto" w:after="120"/>
        <w:jc w:val="both"/>
      </w:pPr>
      <w:r>
        <w:rPr>
          <w:rFonts w:ascii="Calibri" w:hAnsi="Calibri"/>
          <w:color w:val="2D3748"/>
          <w:sz w:val="20"/>
        </w:rPr>
        <w:t>Les objectifs spécifiques assignés au projet sont synthétisés dans le Tableau 1 ci-dessous :</w:t>
      </w:r>
    </w:p>
    <w:tbl>
      <w:tblPr>
        <w:tblW w:type="auto" w:w="0"/>
        <w:jc w:val="center"/>
        <w:tblLayout w:type="fixed"/>
        <w:tblLook w:firstColumn="1" w:firstRow="1" w:lastColumn="0" w:lastRow="0" w:noHBand="0" w:noVBand="1" w:val="04A0"/>
      </w:tblPr>
      <w:tblGrid>
        <w:gridCol w:w="3058"/>
        <w:gridCol w:w="3058"/>
        <w:gridCol w:w="3058"/>
      </w:tblGrid>
      <w:tr>
        <w:tc>
          <w:tcPr>
            <w:tcW w:type="dxa" w:w="11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Réf.</w:t>
            </w:r>
          </w:p>
        </w:tc>
        <w:tc>
          <w:tcPr>
            <w:tcW w:type="dxa" w:w="331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Objectif</w:t>
            </w:r>
          </w:p>
        </w:tc>
        <w:tc>
          <w:tcPr>
            <w:tcW w:type="dxa" w:w="489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Description Détaillée</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O1</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Centralisation des Données</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Regrouper toutes les informations des collaborateurs et des contrats dans un système d'information unique et hautement disponible.</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O2</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Administrative Complète</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Fournir un module CRUD complet et ergonomique pour gérer les fiches employés avec recherche multi-critères et pagination.</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O3</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Modularité Contractuelle</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Concevoir une bibliothèque d'articles réutilisables pouvant être combinés à la volée pour composer des contrats sur mesure.</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O4</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Assistance Intelligente par IA</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Intégrer un modèle d'IA générative pour accélérer et fiabiliser la rédaction de clauses juridiques complexes.</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O5</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Fiabilité du Cycle de Vie</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Mettre en œuvre une machine d'états rigoureuse pour les statuts de contrat (Brouillon, Communiqué, Signé, Actif, Fin CDD, Démission, Inactif).</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O6</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Sécurité et Auditabilité</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Assurer une sécurité renforcée (JWT, Bcrypt, anti-brute force) et journaliser chaque action administrative dans une table d'audit.</w:t>
            </w:r>
          </w:p>
        </w:tc>
      </w:tr>
    </w:tbl>
    <w:p>
      <w:pPr>
        <w:spacing w:after="100"/>
      </w:pPr>
    </w:p>
    <w:p>
      <w:pPr>
        <w:keepNext/>
        <w:spacing w:before="240" w:after="100"/>
      </w:pPr>
      <w:r>
        <w:rPr>
          <w:rFonts w:ascii="Calibri" w:hAnsi="Calibri"/>
          <w:b/>
          <w:color w:val="2B6CB0"/>
          <w:sz w:val="26"/>
        </w:rPr>
        <w:t>1.8 Méthodologie de Travail (Scrum / Agile)</w:t>
      </w:r>
    </w:p>
    <w:p>
      <w:pPr>
        <w:spacing w:line="276" w:lineRule="auto" w:after="80"/>
        <w:jc w:val="both"/>
      </w:pPr>
      <w:r>
        <w:rPr>
          <w:rFonts w:ascii="Calibri" w:hAnsi="Calibri"/>
          <w:color w:val="2D3748"/>
          <w:sz w:val="20"/>
        </w:rPr>
        <w:t>Afin de garantir une flexibilité maximale, une livraison continue de valeur et une adaptation permanente aux retours de l'encadrante, nous avons adopté la méthodologie agile Scrum. Le projet a été découpé en cycles itératifs (Sprints) d'une durée de deux semaines chacun, rythmés par les cérémonies classiques :</w:t>
      </w:r>
    </w:p>
    <w:p>
      <w:pPr>
        <w:pStyle w:val="ListBullet"/>
        <w:spacing w:line="276" w:lineRule="auto" w:after="50"/>
        <w:jc w:val="both"/>
      </w:pPr>
      <w:r>
        <w:rPr>
          <w:rFonts w:ascii="Calibri" w:hAnsi="Calibri"/>
          <w:b/>
          <w:color w:val="1B365D"/>
          <w:sz w:val="19"/>
        </w:rPr>
        <w:t xml:space="preserve">Sprint 0 (Cadrage &amp; Conception) : </w:t>
      </w:r>
      <w:r>
        <w:rPr>
          <w:rFonts w:ascii="Calibri" w:hAnsi="Calibri"/>
          <w:color w:val="2D3748"/>
          <w:sz w:val="19"/>
        </w:rPr>
        <w:t>Recueil initial des exigences, formalisation du backlog produit et priorisation des user stories.</w:t>
      </w:r>
    </w:p>
    <w:p>
      <w:pPr>
        <w:pStyle w:val="ListBullet"/>
        <w:spacing w:line="276" w:lineRule="auto" w:after="50"/>
        <w:jc w:val="both"/>
      </w:pPr>
      <w:r>
        <w:rPr>
          <w:rFonts w:ascii="Calibri" w:hAnsi="Calibri"/>
          <w:b/>
          <w:color w:val="1B365D"/>
          <w:sz w:val="19"/>
        </w:rPr>
        <w:t xml:space="preserve">Sprint 1 (Fondations &amp; Employés) : </w:t>
      </w:r>
      <w:r>
        <w:rPr>
          <w:rFonts w:ascii="Calibri" w:hAnsi="Calibri"/>
          <w:color w:val="2D3748"/>
          <w:sz w:val="19"/>
        </w:rPr>
        <w:t>Mise en place de l'environnement, conception de la base de données PostgreSQL, développement des APIs d'authentification JWT et de gestion des employés.</w:t>
      </w:r>
    </w:p>
    <w:p>
      <w:pPr>
        <w:pStyle w:val="ListBullet"/>
        <w:spacing w:line="276" w:lineRule="auto" w:after="50"/>
        <w:jc w:val="both"/>
      </w:pPr>
      <w:r>
        <w:rPr>
          <w:rFonts w:ascii="Calibri" w:hAnsi="Calibri"/>
          <w:b/>
          <w:color w:val="1B365D"/>
          <w:sz w:val="19"/>
        </w:rPr>
        <w:t xml:space="preserve">Sprint 2 (Articles &amp; Assistant IA) : </w:t>
      </w:r>
      <w:r>
        <w:rPr>
          <w:rFonts w:ascii="Calibri" w:hAnsi="Calibri"/>
          <w:color w:val="2D3748"/>
          <w:sz w:val="19"/>
        </w:rPr>
        <w:t>Développement de la bibliothèque d'articles contractuels, intégration de l'Assistant IA Gemini et mise en place du générateur DOCX.</w:t>
      </w:r>
    </w:p>
    <w:p>
      <w:pPr>
        <w:pStyle w:val="ListBullet"/>
        <w:spacing w:line="276" w:lineRule="auto" w:after="50"/>
        <w:jc w:val="both"/>
      </w:pPr>
      <w:r>
        <w:rPr>
          <w:rFonts w:ascii="Calibri" w:hAnsi="Calibri"/>
          <w:b/>
          <w:color w:val="1B365D"/>
          <w:sz w:val="19"/>
        </w:rPr>
        <w:t xml:space="preserve">Sprint 3 (Contrats, Alertes &amp; Brevo) : </w:t>
      </w:r>
      <w:r>
        <w:rPr>
          <w:rFonts w:ascii="Calibri" w:hAnsi="Calibri"/>
          <w:color w:val="2D3748"/>
          <w:sz w:val="19"/>
        </w:rPr>
        <w:t>Gestion des contrats, implémentation des statuts et transitions métiers, développement du moteur d'alertes d'expiration et intégration de l'API Brevo.</w:t>
      </w:r>
    </w:p>
    <w:p>
      <w:pPr>
        <w:pStyle w:val="ListBullet"/>
        <w:spacing w:line="276" w:lineRule="auto" w:after="50"/>
        <w:jc w:val="both"/>
      </w:pPr>
      <w:r>
        <w:rPr>
          <w:rFonts w:ascii="Calibri" w:hAnsi="Calibri"/>
          <w:b/>
          <w:color w:val="1B365D"/>
          <w:sz w:val="19"/>
        </w:rPr>
        <w:t xml:space="preserve">Sprint 4 (Espace Employé &amp; Sécurité) : </w:t>
      </w:r>
      <w:r>
        <w:rPr>
          <w:rFonts w:ascii="Calibri" w:hAnsi="Calibri"/>
          <w:color w:val="2D3748"/>
          <w:sz w:val="19"/>
        </w:rPr>
        <w:t>Développement de l'espace collaborateur, journalisation d'audit, durcissement de la sécurité (lockout, refresh tokens) et suite de tests automatisés.</w:t>
      </w:r>
    </w:p>
    <w:p>
      <w:pPr>
        <w:pStyle w:val="ListBullet"/>
        <w:spacing w:line="276" w:lineRule="auto" w:after="50"/>
        <w:jc w:val="both"/>
      </w:pPr>
      <w:r>
        <w:rPr>
          <w:rFonts w:ascii="Calibri" w:hAnsi="Calibri"/>
          <w:b/>
          <w:color w:val="1B365D"/>
          <w:sz w:val="19"/>
        </w:rPr>
        <w:t xml:space="preserve">Sprint 5 (Recette &amp; Finalisation) : </w:t>
      </w:r>
      <w:r>
        <w:rPr>
          <w:rFonts w:ascii="Calibri" w:hAnsi="Calibri"/>
          <w:color w:val="2D3748"/>
          <w:sz w:val="19"/>
        </w:rPr>
        <w:t>Campagne globale de tests d'intégration, recette fonctionnelle finale, documentation technique et rédaction du présent rapport.</w:t>
      </w:r>
    </w:p>
    <w:p>
      <w:pPr>
        <w:keepNext/>
        <w:spacing w:before="240" w:after="100"/>
      </w:pPr>
      <w:r>
        <w:rPr>
          <w:rFonts w:ascii="Calibri" w:hAnsi="Calibri"/>
          <w:b/>
          <w:color w:val="2B6CB0"/>
          <w:sz w:val="26"/>
        </w:rPr>
        <w:t>1.9 Conclusion du Chapitre</w:t>
      </w:r>
    </w:p>
    <w:p>
      <w:pPr>
        <w:spacing w:line="276" w:lineRule="auto" w:after="200"/>
        <w:jc w:val="both"/>
      </w:pPr>
      <w:r>
        <w:rPr>
          <w:rFonts w:ascii="Calibri" w:hAnsi="Calibri"/>
          <w:color w:val="2D3748"/>
          <w:sz w:val="20"/>
        </w:rPr>
        <w:t>Ce premier chapitre a permis de contextualiser le projet au sein de CSI Digital, de mettre en lumière les vulnérabilités inhérentes aux processus RH manuels et d'énoncer les objectifs concrets de la solution développée. Le chapitre suivant est dédié à l'analyse fonctionnelle approfondie et à la spécification des besoins.</w:t>
      </w:r>
    </w:p>
    <w:p>
      <w:r>
        <w:br w:type="page"/>
      </w:r>
    </w:p>
    <w:p>
      <w:pPr>
        <w:keepNext/>
        <w:spacing w:before="320" w:after="160"/>
      </w:pPr>
      <w:r>
        <w:rPr>
          <w:rFonts w:ascii="Calibri" w:hAnsi="Calibri"/>
          <w:b/>
          <w:color w:val="1B365D"/>
          <w:sz w:val="32"/>
        </w:rPr>
        <w:t>CHAPITRE 2 : ANALYSE ET SPÉCIFICATION DES BESOINS</w:t>
      </w:r>
    </w:p>
    <w:p>
      <w:pPr>
        <w:keepNext/>
        <w:spacing w:before="240" w:after="100"/>
      </w:pPr>
      <w:r>
        <w:rPr>
          <w:rFonts w:ascii="Calibri" w:hAnsi="Calibri"/>
          <w:b/>
          <w:color w:val="2B6CB0"/>
          <w:sz w:val="26"/>
        </w:rPr>
        <w:t>2.1 Introduction</w:t>
      </w:r>
    </w:p>
    <w:p>
      <w:pPr>
        <w:spacing w:line="276" w:lineRule="auto" w:after="160"/>
        <w:jc w:val="both"/>
      </w:pPr>
      <w:r>
        <w:rPr>
          <w:rFonts w:ascii="Calibri" w:hAnsi="Calibri"/>
          <w:color w:val="2D3748"/>
          <w:sz w:val="20"/>
        </w:rPr>
        <w:t>La réussite d'un projet logiciel repose sur une compréhension exhaustive et rigoureuse des exigences fonctionnelles et des contraintes techniques. Ce chapitre identifie les acteurs intervenant sur le système, détaille l'ensemble des besoins fonctionnels et non fonctionnels, explicite les règles de gestion métier gouvernant les contrats et modélise les interactions au travers des diagrammes de cas d'utilisation UML.</w:t>
      </w:r>
    </w:p>
    <w:p>
      <w:pPr>
        <w:keepNext/>
        <w:spacing w:before="240" w:after="100"/>
      </w:pPr>
      <w:r>
        <w:rPr>
          <w:rFonts w:ascii="Calibri" w:hAnsi="Calibri"/>
          <w:b/>
          <w:color w:val="2B6CB0"/>
          <w:sz w:val="26"/>
        </w:rPr>
        <w:t>2.2 Identification des Acteurs du Système</w:t>
      </w:r>
    </w:p>
    <w:p>
      <w:pPr>
        <w:spacing w:line="276" w:lineRule="auto" w:after="80"/>
        <w:jc w:val="both"/>
      </w:pPr>
      <w:r>
        <w:rPr>
          <w:rFonts w:ascii="Calibri" w:hAnsi="Calibri"/>
          <w:color w:val="2D3748"/>
          <w:sz w:val="20"/>
        </w:rPr>
        <w:t>Le système distingue deux acteurs humains principaux interagissant avec l'application :</w:t>
      </w:r>
    </w:p>
    <w:p>
      <w:pPr>
        <w:spacing w:line="276" w:lineRule="auto" w:after="120"/>
        <w:jc w:val="both"/>
      </w:pPr>
      <w:r>
        <w:rPr>
          <w:rFonts w:ascii="Calibri" w:hAnsi="Calibri"/>
          <w:b/>
          <w:color w:val="1B365D"/>
          <w:sz w:val="20"/>
        </w:rPr>
        <w:t xml:space="preserve">1. L'Administrateur RH / Responsable RH : </w:t>
      </w:r>
      <w:r>
        <w:rPr>
          <w:rFonts w:ascii="Calibri" w:hAnsi="Calibri"/>
          <w:color w:val="2D3748"/>
          <w:sz w:val="20"/>
        </w:rPr>
        <w:t>Il s'agit de l'utilisateur principal du système. Il dispose de privilèges complets d'administration lui permettant de gérer le personnel, d'alimenter la bibliothèque d'articles, d'utiliser l'Assistant IA pour rédiger de nouvelles clauses, de créer et modifier les contrats de travail, d'en suivre les statuts, de consulter les alertes d'expiration et de visualiser le journal d'audit de sécurité.</w:t>
      </w:r>
    </w:p>
    <w:p>
      <w:pPr>
        <w:spacing w:line="276" w:lineRule="auto" w:after="160"/>
        <w:jc w:val="both"/>
      </w:pPr>
      <w:r>
        <w:rPr>
          <w:rFonts w:ascii="Calibri" w:hAnsi="Calibri"/>
          <w:b/>
          <w:color w:val="1B365D"/>
          <w:sz w:val="20"/>
        </w:rPr>
        <w:t xml:space="preserve">2. L'Employé / Collaborateur : </w:t>
      </w:r>
      <w:r>
        <w:rPr>
          <w:rFonts w:ascii="Calibri" w:hAnsi="Calibri"/>
          <w:color w:val="2D3748"/>
          <w:sz w:val="20"/>
        </w:rPr>
        <w:t>Il s'agit du salarié de l'entreprise. Disposant d'un compte individuel sécurisé, l'employé possède un accès strictement limité en lecture seule : il peut consulter ses informations personnelles, visualiser son contrat actuellement en vigueur et télécharger son document contractuel officiel.</w:t>
      </w:r>
    </w:p>
    <w:p>
      <w:pPr>
        <w:keepNext/>
        <w:spacing w:before="240" w:after="100"/>
      </w:pPr>
      <w:r>
        <w:rPr>
          <w:rFonts w:ascii="Calibri" w:hAnsi="Calibri"/>
          <w:b/>
          <w:color w:val="2B6CB0"/>
          <w:sz w:val="26"/>
        </w:rPr>
        <w:t>2.3 Spécification des Besoins Fonctionnels</w:t>
      </w:r>
    </w:p>
    <w:p>
      <w:pPr>
        <w:spacing w:line="276" w:lineRule="auto" w:after="120"/>
        <w:jc w:val="both"/>
      </w:pPr>
      <w:r>
        <w:rPr>
          <w:rFonts w:ascii="Calibri" w:hAnsi="Calibri"/>
          <w:color w:val="2D3748"/>
          <w:sz w:val="20"/>
        </w:rPr>
        <w:t>Les exigences fonctionnelles du système sont classées par modules dans le Tableau 2 :</w:t>
      </w:r>
    </w:p>
    <w:tbl>
      <w:tblPr>
        <w:tblW w:type="auto" w:w="0"/>
        <w:jc w:val="center"/>
        <w:tblLayout w:type="fixed"/>
        <w:tblLook w:firstColumn="1" w:firstRow="1" w:lastColumn="0" w:lastRow="0" w:noHBand="0" w:noVBand="1" w:val="04A0"/>
      </w:tblPr>
      <w:tblGrid>
        <w:gridCol w:w="3058"/>
        <w:gridCol w:w="3058"/>
        <w:gridCol w:w="3058"/>
      </w:tblGrid>
      <w:tr>
        <w:tc>
          <w:tcPr>
            <w:tcW w:type="dxa" w:w="129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Code</w:t>
            </w:r>
          </w:p>
        </w:tc>
        <w:tc>
          <w:tcPr>
            <w:tcW w:type="dxa" w:w="331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Besoin Fonctionnel</w:t>
            </w:r>
          </w:p>
        </w:tc>
        <w:tc>
          <w:tcPr>
            <w:tcW w:type="dxa" w:w="47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Description Détaillée</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BF-01</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Connexion sécurisée</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Authentification par email et mot de passe avec hachage Bcrypt et émission d'un token JWT.</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BF-02</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des rôles (RBAC)</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Distinction stricte entre le profil Administrateur RH et le profil Employé.</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BF-03</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Politique anti-brute force</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Verrouillage temporaire du compte après 5 échecs consécutifs d'authentification.</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BF-04</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des employés (CRUD)</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Création, modification, archivage, recherche multicritères et pagination des fiches employés.</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BF-05</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Matricule unique</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automatique et garantie d'unicité du matricule collaborateur.</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BF-06</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Bibliothèque d'articles</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du catalogue de clauses contractuelles réutilisables (activation, modification).</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BF-07</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Assistant IA de rédaction</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assistée de clauses par Google Gemini à partir d'un prompt en langage naturel.</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BF-08</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Clauses structurées (Tableaux)</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Support des clauses complexes composées de texte brut ou de tableaux natifs de rémunération.</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BF-09</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Création et assemblage de contrat</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Sélection d'un employé, saisie des dates/salaire et association des articles réutilisables.</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BF-10</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Cycle de vie des statuts</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stricte des statuts : Brouillon, Communiqué, Signé, Actif, Fin CDD, Démission, Pas discuté, Inactif.</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BF-11</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Cohérence des dates CDD/CDI</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Date de fin obligatoire pour les CDD, date de fin optionnelle/interdite à la création pour les CDI.</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BF-12</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Word (.docx)</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Assemblage dynamique et téléchargement du contrat pré-rempli au format Microsoft Word.</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BF-13</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Moteur d'alertes d'expiration</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Détection automatique des contrats CDD arrivant à échéance à 30, 15 et 7 jours.</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BF-14</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Déduplication des alertes</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Garantie d'absence de notifications en double grâce à une clé unique d'idempotence.</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BF-15</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Envoi d'emails transactionnels</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Notification par email via l'API Brevo lors de l'activation d'un contrat ou à l'approche de son terme.</w:t>
            </w:r>
          </w:p>
        </w:tc>
      </w:tr>
      <w:tr>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BF-16</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Journal d'audit de sécurité</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Traçabilité intégrale de toutes les actions (anciennes et nouvelles valeurs au format JSONB).</w:t>
            </w:r>
          </w:p>
        </w:tc>
      </w:tr>
      <w:tr>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BF-17</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Espace personnel collaborateur</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Interface restreinte permettant à l'employé de consulter son profil et son contrat actif.</w:t>
            </w:r>
          </w:p>
        </w:tc>
      </w:tr>
    </w:tbl>
    <w:p>
      <w:pPr>
        <w:spacing w:after="100"/>
      </w:pPr>
    </w:p>
    <w:p>
      <w:pPr>
        <w:keepNext/>
        <w:spacing w:before="240" w:after="100"/>
      </w:pPr>
      <w:r>
        <w:rPr>
          <w:rFonts w:ascii="Calibri" w:hAnsi="Calibri"/>
          <w:b/>
          <w:color w:val="2B6CB0"/>
          <w:sz w:val="26"/>
        </w:rPr>
        <w:t>2.4 Spécification des Besoins Non Fonctionnels</w:t>
      </w:r>
    </w:p>
    <w:p>
      <w:pPr>
        <w:spacing w:line="276" w:lineRule="auto" w:after="120"/>
        <w:jc w:val="both"/>
      </w:pPr>
      <w:r>
        <w:rPr>
          <w:rFonts w:ascii="Calibri" w:hAnsi="Calibri"/>
          <w:color w:val="2D3748"/>
          <w:sz w:val="20"/>
        </w:rPr>
        <w:t>Les exigences non fonctionnelles garantissent la pérennité, la sécurité et la performance de l'application :</w:t>
      </w:r>
    </w:p>
    <w:tbl>
      <w:tblPr>
        <w:tblW w:type="auto" w:w="0"/>
        <w:jc w:val="center"/>
        <w:tblLayout w:type="fixed"/>
        <w:tblLook w:firstColumn="1" w:firstRow="1" w:lastColumn="0" w:lastRow="0" w:noHBand="0" w:noVBand="1" w:val="04A0"/>
      </w:tblPr>
      <w:tblGrid>
        <w:gridCol w:w="3058"/>
        <w:gridCol w:w="3058"/>
        <w:gridCol w:w="3058"/>
      </w:tblGrid>
      <w:tr>
        <w:tc>
          <w:tcPr>
            <w:tcW w:type="dxa" w:w="144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Code</w:t>
            </w:r>
          </w:p>
        </w:tc>
        <w:tc>
          <w:tcPr>
            <w:tcW w:type="dxa" w:w="316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Caractéristique</w:t>
            </w:r>
          </w:p>
        </w:tc>
        <w:tc>
          <w:tcPr>
            <w:tcW w:type="dxa" w:w="47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Exigence et Justification Technique</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BNF-01</w:t>
            </w:r>
          </w:p>
        </w:tc>
        <w:tc>
          <w:tcPr>
            <w:tcW w:type="dxa" w:w="316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Performance &amp; Réactivité</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Temps de réponse inférieur à 200 ms pour les requêtes de base de données courantes et inférieur à 3 secondes pour la génération de clauses complexes via l'IA.</w:t>
            </w:r>
          </w:p>
        </w:tc>
      </w:tr>
      <w:tr>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BNF-02</w:t>
            </w:r>
          </w:p>
        </w:tc>
        <w:tc>
          <w:tcPr>
            <w:tcW w:type="dxa" w:w="316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Sécurité &amp; Confidentialité</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Protection contre les failles OWASP Top 10 (injections SQL prévenues par l'ORM SQLAlchemy, attaques XSS prévenues par l'échappement React, protection CORS et tokens JWT signés numériquement).</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BNF-03</w:t>
            </w:r>
          </w:p>
        </w:tc>
        <w:tc>
          <w:tcPr>
            <w:tcW w:type="dxa" w:w="316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Ergonomie &amp; Design Moderne</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Interface intuitive et réactive respectant les principes d'utilisabilité contemporains, avec design épuré, contraste soigné et retours visuels interactifs.</w:t>
            </w:r>
          </w:p>
        </w:tc>
      </w:tr>
      <w:tr>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BNF-04</w:t>
            </w:r>
          </w:p>
        </w:tc>
        <w:tc>
          <w:tcPr>
            <w:tcW w:type="dxa" w:w="316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Intégrité des Données (ACID)</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Garantie de cohérence transactionnelle assurée par le moteur relationnel PostgreSQL et ses contraintes de clés étrangères en cascade.</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BNF-05</w:t>
            </w:r>
          </w:p>
        </w:tc>
        <w:tc>
          <w:tcPr>
            <w:tcW w:type="dxa" w:w="316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Maintenabilité &amp; Modularité</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Architecture logicielle découplée favorisant l'évolutivité du code, le typage strict des données (Pydantic) et la couverture par tests unitaires automatisés.</w:t>
            </w:r>
          </w:p>
        </w:tc>
      </w:tr>
    </w:tbl>
    <w:p>
      <w:pPr>
        <w:spacing w:after="100"/>
      </w:pPr>
    </w:p>
    <w:p>
      <w:pPr>
        <w:keepNext/>
        <w:spacing w:before="240" w:after="100"/>
      </w:pPr>
      <w:r>
        <w:rPr>
          <w:rFonts w:ascii="Calibri" w:hAnsi="Calibri"/>
          <w:b/>
          <w:color w:val="2B6CB0"/>
          <w:sz w:val="26"/>
        </w:rPr>
        <w:t>2.5 Règles de Gestion et Cohérence Métier</w:t>
      </w:r>
    </w:p>
    <w:p>
      <w:pPr>
        <w:spacing w:line="276" w:lineRule="auto" w:after="80"/>
        <w:jc w:val="both"/>
      </w:pPr>
      <w:r>
        <w:rPr>
          <w:rFonts w:ascii="Calibri" w:hAnsi="Calibri"/>
          <w:color w:val="2D3748"/>
          <w:sz w:val="20"/>
        </w:rPr>
        <w:t>La gestion contractuelle est soumise à un ensemble de règles métier strictes régissant la validité des données et des transitions :</w:t>
      </w:r>
    </w:p>
    <w:p>
      <w:pPr>
        <w:pStyle w:val="ListBullet"/>
        <w:spacing w:line="276" w:lineRule="auto" w:after="50"/>
        <w:jc w:val="both"/>
      </w:pPr>
      <w:r>
        <w:rPr>
          <w:rFonts w:ascii="Calibri" w:hAnsi="Calibri"/>
          <w:b/>
          <w:color w:val="1B365D"/>
          <w:sz w:val="19"/>
        </w:rPr>
        <w:t xml:space="preserve">Règle 1 (CDD et Dates) : </w:t>
      </w:r>
      <w:r>
        <w:rPr>
          <w:rFonts w:ascii="Calibri" w:hAnsi="Calibri"/>
          <w:color w:val="2D3748"/>
          <w:sz w:val="19"/>
        </w:rPr>
        <w:t>Un contrat CDD, STAGE ou ALTERNANCE doit impérativement comporter une date de début et une date de fin (date_fin postérieure à date_debut).</w:t>
      </w:r>
    </w:p>
    <w:p>
      <w:pPr>
        <w:pStyle w:val="ListBullet"/>
        <w:spacing w:line="276" w:lineRule="auto" w:after="50"/>
        <w:jc w:val="both"/>
      </w:pPr>
      <w:r>
        <w:rPr>
          <w:rFonts w:ascii="Calibri" w:hAnsi="Calibri"/>
          <w:b/>
          <w:color w:val="1B365D"/>
          <w:sz w:val="19"/>
        </w:rPr>
        <w:t xml:space="preserve">Règle 2 (CDI et Échéance) : </w:t>
      </w:r>
      <w:r>
        <w:rPr>
          <w:rFonts w:ascii="Calibri" w:hAnsi="Calibri"/>
          <w:color w:val="2D3748"/>
          <w:sz w:val="19"/>
        </w:rPr>
        <w:t>Un contrat CDI ne doit pas comporter de date de fin obligatoire lors de son émission.</w:t>
      </w:r>
    </w:p>
    <w:p>
      <w:pPr>
        <w:pStyle w:val="ListBullet"/>
        <w:spacing w:line="276" w:lineRule="auto" w:after="50"/>
        <w:jc w:val="both"/>
      </w:pPr>
      <w:r>
        <w:rPr>
          <w:rFonts w:ascii="Calibri" w:hAnsi="Calibri"/>
          <w:b/>
          <w:color w:val="1B365D"/>
          <w:sz w:val="19"/>
        </w:rPr>
        <w:t xml:space="preserve">Règle 3 (Workflow d'Activation) : </w:t>
      </w:r>
      <w:r>
        <w:rPr>
          <w:rFonts w:ascii="Calibri" w:hAnsi="Calibri"/>
          <w:color w:val="2D3748"/>
          <w:sz w:val="19"/>
        </w:rPr>
        <w:t>Un contrat nouvellement rédigé débute à l'état BROUILLON. Il peut ensuite être COMMUNIQUÉ, puis SIGNÉ, avant de devenir ACTIF.</w:t>
      </w:r>
    </w:p>
    <w:p>
      <w:pPr>
        <w:pStyle w:val="ListBullet"/>
        <w:spacing w:line="276" w:lineRule="auto" w:after="50"/>
        <w:jc w:val="both"/>
      </w:pPr>
      <w:r>
        <w:rPr>
          <w:rFonts w:ascii="Calibri" w:hAnsi="Calibri"/>
          <w:b/>
          <w:color w:val="1B365D"/>
          <w:sz w:val="19"/>
        </w:rPr>
        <w:t xml:space="preserve">Règle 4 (Transitions Irréversibles) : </w:t>
      </w:r>
      <w:r>
        <w:rPr>
          <w:rFonts w:ascii="Calibri" w:hAnsi="Calibri"/>
          <w:color w:val="2D3748"/>
          <w:sz w:val="19"/>
        </w:rPr>
        <w:t>Un contrat ACTIF ne peut en aucun cas régresser vers le statut BROUILLON. La fin d'un CDD passe par FIN_CDD avant archivage en INACTIF. La rupture d'un CDI passe par DEMISSION_CDI avant archivage en INACTIF.</w:t>
      </w:r>
    </w:p>
    <w:p>
      <w:pPr>
        <w:pStyle w:val="ListBullet"/>
        <w:spacing w:line="276" w:lineRule="auto" w:after="50"/>
        <w:jc w:val="both"/>
      </w:pPr>
      <w:r>
        <w:rPr>
          <w:rFonts w:ascii="Calibri" w:hAnsi="Calibri"/>
          <w:b/>
          <w:color w:val="1B365D"/>
          <w:sz w:val="19"/>
        </w:rPr>
        <w:t xml:space="preserve">Règle 5 (Archivage Inactif) : </w:t>
      </w:r>
      <w:r>
        <w:rPr>
          <w:rFonts w:ascii="Calibri" w:hAnsi="Calibri"/>
          <w:color w:val="2D3748"/>
          <w:sz w:val="19"/>
        </w:rPr>
        <w:t>Un contrat au statut INACTIF est considéré comme clôturé et archivé : il ne génère aucune alerte d'expiration et n'apparaît plus comme le contrat actif du collaborateur.</w:t>
      </w:r>
    </w:p>
    <w:tbl>
      <w:tblPr>
        <w:tblW w:type="auto" w:w="0"/>
        <w:jc w:val="center"/>
        <w:tblLook w:firstColumn="1" w:firstRow="1" w:lastColumn="0" w:lastRow="0" w:noHBand="0" w:noVBand="1" w:val="04A0"/>
      </w:tblPr>
      <w:tblGrid>
        <w:gridCol w:w="9173"/>
      </w:tblGrid>
      <w:tr>
        <w:tc>
          <w:tcPr>
            <w:tcW w:type="dxa" w:w="9173"/>
            <w:shd w:fill="EBF8FF"/>
            <w:tcMar>
              <w:top w:w="90" w:type="dxa"/>
              <w:bottom w:w="90" w:type="dxa"/>
              <w:left w:w="160" w:type="dxa"/>
              <w:right w:w="160" w:type="dxa"/>
            </w:tcMar>
            <w:tcBorders>
              <w:top w:val="none"/>
              <w:bottom w:val="none"/>
              <w:left w:val="single" w:sz="24" w:space="0" w:color="2B6CB0"/>
              <w:right w:val="none"/>
            </w:tcBorders>
          </w:tcPr>
          <w:p>
            <w:pPr>
              <w:spacing w:line="269" w:lineRule="auto" w:after="0"/>
            </w:pPr>
            <w:r>
              <w:rPr>
                <w:rFonts w:ascii="Calibri" w:hAnsi="Calibri"/>
                <w:b/>
                <w:color w:val="2B6CB0"/>
                <w:sz w:val="19"/>
              </w:rPr>
              <w:t xml:space="preserve">📌 Validation à double niveau : </w:t>
            </w:r>
            <w:r>
              <w:rPr>
                <w:rFonts w:ascii="Calibri" w:hAnsi="Calibri"/>
                <w:i/>
                <w:color w:val="2D3748"/>
                <w:sz w:val="19"/>
              </w:rPr>
              <w:t>Les règles de cohérence ci-dessus sont validées à deux niveaux : côté client par des mécanismes de contrôle dans les formulaires React, et côté serveur de manière infranchissable au sein des schémas Pydantic et des services métier FastAPI.</w:t>
            </w:r>
          </w:p>
        </w:tc>
      </w:tr>
    </w:tbl>
    <w:p>
      <w:pPr>
        <w:spacing w:after="80"/>
      </w:pPr>
    </w:p>
    <w:p>
      <w:pPr>
        <w:keepNext/>
        <w:spacing w:before="240" w:after="100"/>
      </w:pPr>
      <w:r>
        <w:rPr>
          <w:rFonts w:ascii="Calibri" w:hAnsi="Calibri"/>
          <w:b/>
          <w:color w:val="2B6CB0"/>
          <w:sz w:val="26"/>
        </w:rPr>
        <w:t>2.6 Diagramme Global des Cas d'Utilisation</w:t>
      </w:r>
    </w:p>
    <w:p>
      <w:pPr>
        <w:spacing w:line="276" w:lineRule="auto" w:after="120"/>
        <w:jc w:val="both"/>
      </w:pPr>
      <w:r>
        <w:rPr>
          <w:rFonts w:ascii="Calibri" w:hAnsi="Calibri"/>
          <w:color w:val="2D3748"/>
          <w:sz w:val="20"/>
        </w:rPr>
        <w:t>Le diagramme de cas d'utilisation UML ci-dessous (Figure 1) offre une vue synthétique des interactions entre les acteurs et les fonctionnalités offertes par l'application RH :</w:t>
      </w:r>
    </w:p>
    <w:p>
      <w:pPr>
        <w:keepNext/>
        <w:spacing w:before="120" w:after="40"/>
        <w:jc w:val="center"/>
      </w:pPr>
      <w:r>
        <w:drawing>
          <wp:inline xmlns:a="http://schemas.openxmlformats.org/drawingml/2006/main" xmlns:pic="http://schemas.openxmlformats.org/drawingml/2006/picture">
            <wp:extent cx="5120640" cy="3476398"/>
            <wp:docPr id="2" name="Picture 2"/>
            <wp:cNvGraphicFramePr>
              <a:graphicFrameLocks noChangeAspect="1"/>
            </wp:cNvGraphicFramePr>
            <a:graphic>
              <a:graphicData uri="http://schemas.openxmlformats.org/drawingml/2006/picture">
                <pic:pic>
                  <pic:nvPicPr>
                    <pic:cNvPr id="0" name="fig_use_case.png"/>
                    <pic:cNvPicPr/>
                  </pic:nvPicPr>
                  <pic:blipFill>
                    <a:blip r:embed="rId12"/>
                    <a:stretch>
                      <a:fillRect/>
                    </a:stretch>
                  </pic:blipFill>
                  <pic:spPr>
                    <a:xfrm>
                      <a:off x="0" y="0"/>
                      <a:ext cx="5120640" cy="3476398"/>
                    </a:xfrm>
                    <a:prstGeom prst="rect"/>
                  </pic:spPr>
                </pic:pic>
              </a:graphicData>
            </a:graphic>
          </wp:inline>
        </w:drawing>
      </w:r>
    </w:p>
    <w:p>
      <w:pPr>
        <w:spacing w:before="0" w:after="140"/>
        <w:jc w:val="center"/>
      </w:pPr>
      <w:r>
        <w:rPr>
          <w:rFonts w:ascii="Calibri" w:hAnsi="Calibri"/>
          <w:b/>
          <w:color w:val="1B365D"/>
          <w:sz w:val="17"/>
        </w:rPr>
        <w:t xml:space="preserve">Figure 1 — </w:t>
      </w:r>
      <w:r>
        <w:rPr>
          <w:rFonts w:ascii="Calibri" w:hAnsi="Calibri"/>
          <w:i/>
          <w:color w:val="718096"/>
          <w:sz w:val="17"/>
        </w:rPr>
        <w:t>Diagramme Global des Cas d'Utilisation UML</w:t>
      </w:r>
    </w:p>
    <w:p>
      <w:pPr>
        <w:keepNext/>
        <w:spacing w:before="240" w:after="100"/>
      </w:pPr>
      <w:r>
        <w:rPr>
          <w:rFonts w:ascii="Calibri" w:hAnsi="Calibri"/>
          <w:b/>
          <w:color w:val="2B6CB0"/>
          <w:sz w:val="26"/>
        </w:rPr>
        <w:t>2.7 Description des Cas d'Utilisation Principaux</w:t>
      </w:r>
    </w:p>
    <w:p>
      <w:pPr>
        <w:spacing w:line="276" w:lineRule="auto" w:after="80"/>
        <w:jc w:val="both"/>
      </w:pPr>
      <w:r>
        <w:rPr>
          <w:rFonts w:ascii="Calibri" w:hAnsi="Calibri"/>
          <w:color w:val="2D3748"/>
          <w:sz w:val="20"/>
        </w:rPr>
        <w:t>Afin d'illustrer la dynamique fonctionnelle, deux cas d'utilisation majeurs sont détaillés textuellement :</w:t>
      </w:r>
    </w:p>
    <w:p>
      <w:pPr>
        <w:spacing w:line="276" w:lineRule="auto" w:after="120"/>
        <w:jc w:val="both"/>
      </w:pPr>
      <w:r>
        <w:rPr>
          <w:rFonts w:ascii="Calibri" w:hAnsi="Calibri"/>
          <w:b/>
          <w:color w:val="1B365D"/>
          <w:sz w:val="20"/>
        </w:rPr>
        <w:t xml:space="preserve">• Cas d'utilisation « Créer un contrat de travail » : </w:t>
      </w:r>
      <w:r>
        <w:rPr>
          <w:rFonts w:ascii="Calibri" w:hAnsi="Calibri"/>
          <w:color w:val="2D3748"/>
          <w:sz w:val="20"/>
        </w:rPr>
        <w:t>L'administrateur RH accède au formulaire de création, sélectionne un employé non rattaché à un contrat actif, choisit le type de contrat (CDD/CDI) et saisit la rémunération ainsi que les dates légales. Il sélectionne ensuite les clauses applicables depuis la bibliothèque d'articles. Lors de la soumission, le contrat est enregistré à l'état BROUILLON et un événement d'audit est consigné.</w:t>
      </w:r>
    </w:p>
    <w:p>
      <w:pPr>
        <w:spacing w:line="276" w:lineRule="auto" w:after="160"/>
        <w:jc w:val="both"/>
      </w:pPr>
      <w:r>
        <w:rPr>
          <w:rFonts w:ascii="Calibri" w:hAnsi="Calibri"/>
          <w:b/>
          <w:color w:val="1B365D"/>
          <w:sz w:val="20"/>
        </w:rPr>
        <w:t xml:space="preserve">• Cas d'utilisation « Rédiger une clause via l'Assistant IA » : </w:t>
      </w:r>
      <w:r>
        <w:rPr>
          <w:rFonts w:ascii="Calibri" w:hAnsi="Calibri"/>
          <w:color w:val="2D3748"/>
          <w:sz w:val="20"/>
        </w:rPr>
        <w:t>Depuis l'interface de gestion de la bibliothèque d'articles, le responsable RH ouvre la modale d'assistance et décrit en français la clause souhaitée (ex: 'Rédige une clause de prime sur objectifs avec un tableau trimestriel'). L'IA Gemini traite la requête et retourne une structure JSON validée comprenant un texte introductif et un tableau formaté. Le responsable RH visualise le résultat en direct, procède à d'éventuels ajustements, puis enregistre l'article dans la bibliothèque.</w:t>
      </w:r>
    </w:p>
    <w:p>
      <w:pPr>
        <w:keepNext/>
        <w:spacing w:before="240" w:after="100"/>
      </w:pPr>
      <w:r>
        <w:rPr>
          <w:rFonts w:ascii="Calibri" w:hAnsi="Calibri"/>
          <w:b/>
          <w:color w:val="2B6CB0"/>
          <w:sz w:val="26"/>
        </w:rPr>
        <w:t>2.8 Conclusion du Chapitre</w:t>
      </w:r>
    </w:p>
    <w:p>
      <w:pPr>
        <w:spacing w:line="276" w:lineRule="auto" w:after="200"/>
        <w:jc w:val="both"/>
      </w:pPr>
      <w:r>
        <w:rPr>
          <w:rFonts w:ascii="Calibri" w:hAnsi="Calibri"/>
          <w:color w:val="2D3748"/>
          <w:sz w:val="20"/>
        </w:rPr>
        <w:t>Ce chapitre a permis de formaliser l'ensemble des besoins et des règles encadrant l'application web RH. Sur la base de ces exigences précises, le chapitre suivant présente la conception architecturale et la modélisation technique de la solution.</w:t>
      </w:r>
    </w:p>
    <w:p>
      <w:r>
        <w:br w:type="page"/>
      </w:r>
    </w:p>
    <w:p>
      <w:pPr>
        <w:keepNext/>
        <w:spacing w:before="320" w:after="160"/>
      </w:pPr>
      <w:r>
        <w:rPr>
          <w:rFonts w:ascii="Calibri" w:hAnsi="Calibri"/>
          <w:b/>
          <w:color w:val="1B365D"/>
          <w:sz w:val="32"/>
        </w:rPr>
        <w:t>CHAPITRE 3 : CONCEPTION ET ARCHITECTURE TECHNIQUE</w:t>
      </w:r>
    </w:p>
    <w:p>
      <w:pPr>
        <w:keepNext/>
        <w:spacing w:before="240" w:after="100"/>
      </w:pPr>
      <w:r>
        <w:rPr>
          <w:rFonts w:ascii="Calibri" w:hAnsi="Calibri"/>
          <w:b/>
          <w:color w:val="2B6CB0"/>
          <w:sz w:val="26"/>
        </w:rPr>
        <w:t>3.1 Introduction</w:t>
      </w:r>
    </w:p>
    <w:p>
      <w:pPr>
        <w:spacing w:line="276" w:lineRule="auto" w:after="160"/>
        <w:jc w:val="both"/>
      </w:pPr>
      <w:r>
        <w:rPr>
          <w:rFonts w:ascii="Calibri" w:hAnsi="Calibri"/>
          <w:color w:val="2D3748"/>
          <w:sz w:val="20"/>
        </w:rPr>
        <w:t>La phase de conception constitue la clé de voûte de tout projet d'ingénierie logicielle. Elle traduit les exigences fonctionnelles et non fonctionnelles en une architecture robuste, modulaire et extensible. Ce chapitre détaille l'architecture globale trois-tiers du système, analyse les choix structurels du backend FastAPI et du frontend React 18, expose la modélisation statique au travers du diagramme de classes UML complet, illustre les dynamiques comportementales par des diagrammes de séquence et modélise la machine à états finis des contrats de travail.</w:t>
      </w:r>
    </w:p>
    <w:p>
      <w:pPr>
        <w:keepNext/>
        <w:spacing w:before="240" w:after="100"/>
      </w:pPr>
      <w:r>
        <w:rPr>
          <w:rFonts w:ascii="Calibri" w:hAnsi="Calibri"/>
          <w:b/>
          <w:color w:val="2B6CB0"/>
          <w:sz w:val="26"/>
        </w:rPr>
        <w:t>3.2 Architecture Globale 3-Tiers du Système</w:t>
      </w:r>
    </w:p>
    <w:p>
      <w:pPr>
        <w:spacing w:line="276" w:lineRule="auto" w:after="80"/>
        <w:jc w:val="both"/>
      </w:pPr>
      <w:r>
        <w:rPr>
          <w:rFonts w:ascii="Calibri" w:hAnsi="Calibri"/>
          <w:color w:val="2D3748"/>
          <w:sz w:val="20"/>
        </w:rPr>
        <w:t>L'application repose sur un modèle d'architecture découplée en trois tiers (Figure 2), garantissant une séparation nette des responsabilités, une grande flexibilité de maintenance et une évolutivité aisée :</w:t>
      </w:r>
    </w:p>
    <w:p>
      <w:pPr>
        <w:pStyle w:val="ListBullet"/>
        <w:spacing w:line="276" w:lineRule="auto" w:after="50"/>
        <w:jc w:val="both"/>
      </w:pPr>
      <w:r>
        <w:rPr>
          <w:rFonts w:ascii="Calibri" w:hAnsi="Calibri"/>
          <w:b/>
          <w:color w:val="1B365D"/>
          <w:sz w:val="19"/>
        </w:rPr>
        <w:t xml:space="preserve">1. Le Tiers Présentation (Frontend) : </w:t>
      </w:r>
      <w:r>
        <w:rPr>
          <w:rFonts w:ascii="Calibri" w:hAnsi="Calibri"/>
          <w:color w:val="2D3748"/>
          <w:sz w:val="19"/>
        </w:rPr>
        <w:t>Implémenté sous la forme d'une Single Page Application (SPA) réactive avec React 18 et packagée par Vite. Ce tiers s'exécute dans le navigateur de l'utilisateur, gère les interactions ergonomiques, l'état applicatif local (AuthContext) et communique avec le serveur via des requêtes HTTP asynchrones au format JSON.</w:t>
      </w:r>
    </w:p>
    <w:p>
      <w:pPr>
        <w:pStyle w:val="ListBullet"/>
        <w:spacing w:line="276" w:lineRule="auto" w:after="50"/>
        <w:jc w:val="both"/>
      </w:pPr>
      <w:r>
        <w:rPr>
          <w:rFonts w:ascii="Calibri" w:hAnsi="Calibri"/>
          <w:b/>
          <w:color w:val="1B365D"/>
          <w:sz w:val="19"/>
        </w:rPr>
        <w:t xml:space="preserve">2. Le Tiers Application (Backend REST API) : </w:t>
      </w:r>
      <w:r>
        <w:rPr>
          <w:rFonts w:ascii="Calibri" w:hAnsi="Calibri"/>
          <w:color w:val="2D3748"/>
          <w:sz w:val="19"/>
        </w:rPr>
        <w:t>Conçu avec le framework Python FastAPI. Ce tiers expose une API RESTful haute performance, implémente l'ensemble des règles métier, assure le contrôle d'accès sécurisé (RBAC, JWT, Bcrypt), orchestre les services externes (Google Gemini pour l'IA, Brevo pour les emails) et gère le moteur d'alertes et de génération de documents.</w:t>
      </w:r>
    </w:p>
    <w:p>
      <w:pPr>
        <w:pStyle w:val="ListBullet"/>
        <w:spacing w:line="276" w:lineRule="auto" w:after="50"/>
        <w:jc w:val="both"/>
      </w:pPr>
      <w:r>
        <w:rPr>
          <w:rFonts w:ascii="Calibri" w:hAnsi="Calibri"/>
          <w:b/>
          <w:color w:val="1B365D"/>
          <w:sz w:val="19"/>
        </w:rPr>
        <w:t xml:space="preserve">3. Le Tiers Persistance (Base de Données) : </w:t>
      </w:r>
      <w:r>
        <w:rPr>
          <w:rFonts w:ascii="Calibri" w:hAnsi="Calibri"/>
          <w:color w:val="2D3748"/>
          <w:sz w:val="19"/>
        </w:rPr>
        <w:t>Repose sur le système de gestion de bases de données relationnelles PostgreSQL. Ce tiers assure la persistance fiable, l'intégrité référentielle et la conformité ACID des données (utilisateurs, contrats, clauses, notifications et journaux d'audit).</w:t>
      </w:r>
    </w:p>
    <w:p>
      <w:pPr>
        <w:keepNext/>
        <w:spacing w:before="120" w:after="40"/>
        <w:jc w:val="center"/>
      </w:pPr>
      <w:r>
        <w:drawing>
          <wp:inline xmlns:a="http://schemas.openxmlformats.org/drawingml/2006/main" xmlns:pic="http://schemas.openxmlformats.org/drawingml/2006/picture">
            <wp:extent cx="5120640" cy="3184264"/>
            <wp:docPr id="3" name="Picture 3"/>
            <wp:cNvGraphicFramePr>
              <a:graphicFrameLocks noChangeAspect="1"/>
            </wp:cNvGraphicFramePr>
            <a:graphic>
              <a:graphicData uri="http://schemas.openxmlformats.org/drawingml/2006/picture">
                <pic:pic>
                  <pic:nvPicPr>
                    <pic:cNvPr id="0" name="fig_architecture_3tiers.png"/>
                    <pic:cNvPicPr/>
                  </pic:nvPicPr>
                  <pic:blipFill>
                    <a:blip r:embed="rId13"/>
                    <a:stretch>
                      <a:fillRect/>
                    </a:stretch>
                  </pic:blipFill>
                  <pic:spPr>
                    <a:xfrm>
                      <a:off x="0" y="0"/>
                      <a:ext cx="5120640" cy="3184264"/>
                    </a:xfrm>
                    <a:prstGeom prst="rect"/>
                  </pic:spPr>
                </pic:pic>
              </a:graphicData>
            </a:graphic>
          </wp:inline>
        </w:drawing>
      </w:r>
    </w:p>
    <w:p>
      <w:pPr>
        <w:spacing w:before="0" w:after="140"/>
        <w:jc w:val="center"/>
      </w:pPr>
      <w:r>
        <w:rPr>
          <w:rFonts w:ascii="Calibri" w:hAnsi="Calibri"/>
          <w:b/>
          <w:color w:val="1B365D"/>
          <w:sz w:val="17"/>
        </w:rPr>
        <w:t xml:space="preserve">Figure 2 — </w:t>
      </w:r>
      <w:r>
        <w:rPr>
          <w:rFonts w:ascii="Calibri" w:hAnsi="Calibri"/>
          <w:i/>
          <w:color w:val="718096"/>
          <w:sz w:val="17"/>
        </w:rPr>
        <w:t>Architecture Globale 3-Tiers de l'Application RH</w:t>
      </w:r>
    </w:p>
    <w:p>
      <w:pPr>
        <w:keepNext/>
        <w:spacing w:before="240" w:after="100"/>
      </w:pPr>
      <w:r>
        <w:rPr>
          <w:rFonts w:ascii="Calibri" w:hAnsi="Calibri"/>
          <w:b/>
          <w:color w:val="2B6CB0"/>
          <w:sz w:val="26"/>
        </w:rPr>
        <w:t>3.3 Architecture Détaillée du Backend FastAPI</w:t>
      </w:r>
    </w:p>
    <w:p>
      <w:pPr>
        <w:spacing w:line="276" w:lineRule="auto" w:after="80"/>
        <w:jc w:val="both"/>
      </w:pPr>
      <w:r>
        <w:rPr>
          <w:rFonts w:ascii="Calibri" w:hAnsi="Calibri"/>
          <w:color w:val="2D3748"/>
          <w:sz w:val="20"/>
        </w:rPr>
        <w:t>Le backend a été conçu selon les meilleures pratiques de développement modulaire en Python. Il est articulé autour des couches logicielles suivantes :</w:t>
      </w:r>
    </w:p>
    <w:p>
      <w:pPr>
        <w:pStyle w:val="ListBullet"/>
        <w:spacing w:line="276" w:lineRule="auto" w:after="50"/>
        <w:jc w:val="both"/>
      </w:pPr>
      <w:r>
        <w:rPr>
          <w:rFonts w:ascii="Calibri" w:hAnsi="Calibri"/>
          <w:b/>
          <w:color w:val="1B365D"/>
          <w:sz w:val="19"/>
        </w:rPr>
        <w:t xml:space="preserve">Couche Routeurs (app/routes/) : </w:t>
      </w:r>
      <w:r>
        <w:rPr>
          <w:rFonts w:ascii="Calibri" w:hAnsi="Calibri"/>
          <w:color w:val="2D3748"/>
          <w:sz w:val="19"/>
        </w:rPr>
        <w:t>Endpoints REST organisés par domaine métier (auth.py, employes.py, contrats.py, articles.py, ai.py, notifications.py, audit.py, espace_employe.py).</w:t>
      </w:r>
    </w:p>
    <w:p>
      <w:pPr>
        <w:pStyle w:val="ListBullet"/>
        <w:spacing w:line="276" w:lineRule="auto" w:after="50"/>
        <w:jc w:val="both"/>
      </w:pPr>
      <w:r>
        <w:rPr>
          <w:rFonts w:ascii="Calibri" w:hAnsi="Calibri"/>
          <w:b/>
          <w:color w:val="1B365D"/>
          <w:sz w:val="19"/>
        </w:rPr>
        <w:t xml:space="preserve">Couche Schémas (app/schemas/) : </w:t>
      </w:r>
      <w:r>
        <w:rPr>
          <w:rFonts w:ascii="Calibri" w:hAnsi="Calibri"/>
          <w:color w:val="2D3748"/>
          <w:sz w:val="19"/>
        </w:rPr>
        <w:t>Modèles Pydantic assurant la validation stricte des entrées/sorties HTTP, la désérialisation sécurisée et la documentation interactive automatique (OpenAPI / Swagger UI).</w:t>
      </w:r>
    </w:p>
    <w:p>
      <w:pPr>
        <w:pStyle w:val="ListBullet"/>
        <w:spacing w:line="276" w:lineRule="auto" w:after="50"/>
        <w:jc w:val="both"/>
      </w:pPr>
      <w:r>
        <w:rPr>
          <w:rFonts w:ascii="Calibri" w:hAnsi="Calibri"/>
          <w:b/>
          <w:color w:val="1B365D"/>
          <w:sz w:val="19"/>
        </w:rPr>
        <w:t xml:space="preserve">Couche Services Métier (app/core/) : </w:t>
      </w:r>
      <w:r>
        <w:rPr>
          <w:rFonts w:ascii="Calibri" w:hAnsi="Calibri"/>
          <w:color w:val="2D3748"/>
          <w:sz w:val="19"/>
        </w:rPr>
        <w:t>Logique métier spécialisée (ai_service.py pour Gemini, email_service.py pour Brevo, notification_service.py pour les alertes, document_generator.py pour la génération Word, security.py pour les tokens et le hachage).</w:t>
      </w:r>
    </w:p>
    <w:p>
      <w:pPr>
        <w:pStyle w:val="ListBullet"/>
        <w:spacing w:line="276" w:lineRule="auto" w:after="50"/>
        <w:jc w:val="both"/>
      </w:pPr>
      <w:r>
        <w:rPr>
          <w:rFonts w:ascii="Calibri" w:hAnsi="Calibri"/>
          <w:b/>
          <w:color w:val="1B365D"/>
          <w:sz w:val="19"/>
        </w:rPr>
        <w:t xml:space="preserve">Couche Modèles ORM (app/models/) : </w:t>
      </w:r>
      <w:r>
        <w:rPr>
          <w:rFonts w:ascii="Calibri" w:hAnsi="Calibri"/>
          <w:color w:val="2D3748"/>
          <w:sz w:val="19"/>
        </w:rPr>
        <w:t>Entités SQLAlchemy modélisant les tables relationnelles, les contraintes et les jointures.</w:t>
      </w:r>
    </w:p>
    <w:p>
      <w:pPr>
        <w:keepNext/>
        <w:spacing w:before="240" w:after="100"/>
      </w:pPr>
      <w:r>
        <w:rPr>
          <w:rFonts w:ascii="Calibri" w:hAnsi="Calibri"/>
          <w:b/>
          <w:color w:val="2B6CB0"/>
          <w:sz w:val="26"/>
        </w:rPr>
        <w:t>3.4 Architecture Détaillée du Frontend React</w:t>
      </w:r>
    </w:p>
    <w:p>
      <w:pPr>
        <w:spacing w:line="276" w:lineRule="auto" w:after="80"/>
        <w:jc w:val="both"/>
      </w:pPr>
      <w:r>
        <w:rPr>
          <w:rFonts w:ascii="Calibri" w:hAnsi="Calibri"/>
          <w:color w:val="2D3748"/>
          <w:sz w:val="20"/>
        </w:rPr>
        <w:t>Le frontend React 18 s'appuie sur une structure claire et modulaire :</w:t>
      </w:r>
    </w:p>
    <w:p>
      <w:pPr>
        <w:pStyle w:val="ListBullet"/>
        <w:spacing w:line="276" w:lineRule="auto" w:after="50"/>
        <w:jc w:val="both"/>
      </w:pPr>
      <w:r>
        <w:rPr>
          <w:rFonts w:ascii="Calibri" w:hAnsi="Calibri"/>
          <w:b/>
          <w:color w:val="1B365D"/>
          <w:sz w:val="19"/>
        </w:rPr>
        <w:t xml:space="preserve">Routage &amp; Sécurité : </w:t>
      </w:r>
      <w:r>
        <w:rPr>
          <w:rFonts w:ascii="Calibri" w:hAnsi="Calibri"/>
          <w:color w:val="2D3748"/>
          <w:sz w:val="19"/>
        </w:rPr>
        <w:t>Routage déclaratif avec React Router DOM v6, intégrant des composants de protection d'accès (ProtectedRoute) qui filtrent la navigation en fonction du rôle authentifié (RH ou Employé).</w:t>
      </w:r>
    </w:p>
    <w:p>
      <w:pPr>
        <w:pStyle w:val="ListBullet"/>
        <w:spacing w:line="276" w:lineRule="auto" w:after="50"/>
        <w:jc w:val="both"/>
      </w:pPr>
      <w:r>
        <w:rPr>
          <w:rFonts w:ascii="Calibri" w:hAnsi="Calibri"/>
          <w:b/>
          <w:color w:val="1B365D"/>
          <w:sz w:val="19"/>
        </w:rPr>
        <w:t xml:space="preserve">Gestion d'État (Context API) : </w:t>
      </w:r>
      <w:r>
        <w:rPr>
          <w:rFonts w:ascii="Calibri" w:hAnsi="Calibri"/>
          <w:color w:val="2D3748"/>
          <w:sz w:val="19"/>
        </w:rPr>
        <w:t>Gestion centralisée de la session utilisateur via un contexte React (AuthContext), stockant l'état d'authentification et les jetons JWT.</w:t>
      </w:r>
    </w:p>
    <w:p>
      <w:pPr>
        <w:pStyle w:val="ListBullet"/>
        <w:spacing w:line="276" w:lineRule="auto" w:after="50"/>
        <w:jc w:val="both"/>
      </w:pPr>
      <w:r>
        <w:rPr>
          <w:rFonts w:ascii="Calibri" w:hAnsi="Calibri"/>
          <w:b/>
          <w:color w:val="1B365D"/>
          <w:sz w:val="19"/>
        </w:rPr>
        <w:t xml:space="preserve">Design System &amp; Glassmorphism : </w:t>
      </w:r>
      <w:r>
        <w:rPr>
          <w:rFonts w:ascii="Calibri" w:hAnsi="Calibri"/>
          <w:color w:val="2D3748"/>
          <w:sz w:val="19"/>
        </w:rPr>
        <w:t>Stylisation personnalisée en CSS Vanilla et CSS Modules, adoptant les principes contemporains du Glassmorphism (effets de flou d'arrière-plan, transparence maîtrisée, contrastes étudiés, badges colorés et micro-animations).</w:t>
      </w:r>
    </w:p>
    <w:p>
      <w:pPr>
        <w:keepNext/>
        <w:spacing w:before="240" w:after="100"/>
      </w:pPr>
      <w:r>
        <w:rPr>
          <w:rFonts w:ascii="Calibri" w:hAnsi="Calibri"/>
          <w:b/>
          <w:color w:val="2B6CB0"/>
          <w:sz w:val="26"/>
        </w:rPr>
        <w:t>3.5 Modélisation des Données et Diagramme de Classes UML</w:t>
      </w:r>
    </w:p>
    <w:p>
      <w:pPr>
        <w:spacing w:line="276" w:lineRule="auto" w:after="120"/>
        <w:jc w:val="both"/>
      </w:pPr>
      <w:r>
        <w:rPr>
          <w:rFonts w:ascii="Calibri" w:hAnsi="Calibri"/>
          <w:color w:val="2D3748"/>
          <w:sz w:val="20"/>
        </w:rPr>
        <w:t>Le modèle de données a été élaboré pour traduire avec une fidélité absolue les relations complexes entre les collaborateurs, leurs contrats et les clauses applicables. Le diagramme de classes UML (Figure 3) détaille les entités du domaine :</w:t>
      </w:r>
    </w:p>
    <w:p>
      <w:pPr>
        <w:keepNext/>
        <w:spacing w:before="120" w:after="40"/>
        <w:jc w:val="center"/>
      </w:pPr>
      <w:r>
        <w:drawing>
          <wp:inline xmlns:a="http://schemas.openxmlformats.org/drawingml/2006/main" xmlns:pic="http://schemas.openxmlformats.org/drawingml/2006/picture">
            <wp:extent cx="5303520" cy="3247892"/>
            <wp:docPr id="4" name="Picture 4"/>
            <wp:cNvGraphicFramePr>
              <a:graphicFrameLocks noChangeAspect="1"/>
            </wp:cNvGraphicFramePr>
            <a:graphic>
              <a:graphicData uri="http://schemas.openxmlformats.org/drawingml/2006/picture">
                <pic:pic>
                  <pic:nvPicPr>
                    <pic:cNvPr id="0" name="fig_class_diagram.png"/>
                    <pic:cNvPicPr/>
                  </pic:nvPicPr>
                  <pic:blipFill>
                    <a:blip r:embed="rId14"/>
                    <a:stretch>
                      <a:fillRect/>
                    </a:stretch>
                  </pic:blipFill>
                  <pic:spPr>
                    <a:xfrm>
                      <a:off x="0" y="0"/>
                      <a:ext cx="5303520" cy="3247892"/>
                    </a:xfrm>
                    <a:prstGeom prst="rect"/>
                  </pic:spPr>
                </pic:pic>
              </a:graphicData>
            </a:graphic>
          </wp:inline>
        </w:drawing>
      </w:r>
    </w:p>
    <w:p>
      <w:pPr>
        <w:spacing w:before="0" w:after="140"/>
        <w:jc w:val="center"/>
      </w:pPr>
      <w:r>
        <w:rPr>
          <w:rFonts w:ascii="Calibri" w:hAnsi="Calibri"/>
          <w:b/>
          <w:color w:val="1B365D"/>
          <w:sz w:val="17"/>
        </w:rPr>
        <w:t xml:space="preserve">Figure 3 — </w:t>
      </w:r>
      <w:r>
        <w:rPr>
          <w:rFonts w:ascii="Calibri" w:hAnsi="Calibri"/>
          <w:i/>
          <w:color w:val="718096"/>
          <w:sz w:val="17"/>
        </w:rPr>
        <w:t>Diagramme de Classes Métier UML et Schéma ORM</w:t>
      </w:r>
    </w:p>
    <w:p>
      <w:pPr>
        <w:spacing w:line="276" w:lineRule="auto" w:after="80"/>
        <w:jc w:val="both"/>
      </w:pPr>
      <w:r>
        <w:rPr>
          <w:rFonts w:ascii="Calibri" w:hAnsi="Calibri"/>
          <w:color w:val="2D3748"/>
          <w:sz w:val="20"/>
        </w:rPr>
        <w:t>Les entités majeures du modèle sont définies comme suit :</w:t>
      </w:r>
    </w:p>
    <w:p>
      <w:pPr>
        <w:pStyle w:val="ListBullet"/>
        <w:spacing w:line="276" w:lineRule="auto" w:after="50"/>
        <w:jc w:val="both"/>
      </w:pPr>
      <w:r>
        <w:rPr>
          <w:rFonts w:ascii="Calibri" w:hAnsi="Calibri"/>
          <w:b/>
          <w:color w:val="1B365D"/>
          <w:sz w:val="19"/>
        </w:rPr>
        <w:t xml:space="preserve">Utilisateur : </w:t>
      </w:r>
      <w:r>
        <w:rPr>
          <w:rFonts w:ascii="Calibri" w:hAnsi="Calibri"/>
          <w:color w:val="2D3748"/>
          <w:sz w:val="19"/>
        </w:rPr>
        <w:t>Représente tout utilisateur du système (Administrateur RH ou Employé). Elle stocke les données d'identité, les coordonnées, le département, le poste, le hash du mot de passe (Bcrypt), ainsi que les compteurs de sécurité pour la politique de verrouillage.</w:t>
      </w:r>
    </w:p>
    <w:p>
      <w:pPr>
        <w:pStyle w:val="ListBullet"/>
        <w:spacing w:line="276" w:lineRule="auto" w:after="50"/>
        <w:jc w:val="both"/>
      </w:pPr>
      <w:r>
        <w:rPr>
          <w:rFonts w:ascii="Calibri" w:hAnsi="Calibri"/>
          <w:b/>
          <w:color w:val="1B365D"/>
          <w:sz w:val="19"/>
        </w:rPr>
        <w:t xml:space="preserve">Contrat : </w:t>
      </w:r>
      <w:r>
        <w:rPr>
          <w:rFonts w:ascii="Calibri" w:hAnsi="Calibri"/>
          <w:color w:val="2D3748"/>
          <w:sz w:val="19"/>
        </w:rPr>
        <w:t>Représente l'engagement juridique d'un collaborateur. Il contient la référence unique, le type (CDI, CDD, STAGE, ALTERNANCE), les dates d'effet, le salaire et le statut métier.</w:t>
      </w:r>
    </w:p>
    <w:p>
      <w:pPr>
        <w:pStyle w:val="ListBullet"/>
        <w:spacing w:line="276" w:lineRule="auto" w:after="50"/>
        <w:jc w:val="both"/>
      </w:pPr>
      <w:r>
        <w:rPr>
          <w:rFonts w:ascii="Calibri" w:hAnsi="Calibri"/>
          <w:b/>
          <w:color w:val="1B365D"/>
          <w:sz w:val="19"/>
        </w:rPr>
        <w:t xml:space="preserve">Article : </w:t>
      </w:r>
      <w:r>
        <w:rPr>
          <w:rFonts w:ascii="Calibri" w:hAnsi="Calibri"/>
          <w:color w:val="2D3748"/>
          <w:sz w:val="19"/>
        </w:rPr>
        <w:t>Représente une clause contractuelle type. L'attribut contenu_par_defaut peut contenir du texte standard ou une structure JSON complexe comprenant des tableaux de données.</w:t>
      </w:r>
    </w:p>
    <w:p>
      <w:pPr>
        <w:pStyle w:val="ListBullet"/>
        <w:spacing w:line="276" w:lineRule="auto" w:after="50"/>
        <w:jc w:val="both"/>
      </w:pPr>
      <w:r>
        <w:rPr>
          <w:rFonts w:ascii="Calibri" w:hAnsi="Calibri"/>
          <w:b/>
          <w:color w:val="1B365D"/>
          <w:sz w:val="19"/>
        </w:rPr>
        <w:t xml:space="preserve">contrat_articles : </w:t>
      </w:r>
      <w:r>
        <w:rPr>
          <w:rFonts w:ascii="Calibri" w:hAnsi="Calibri"/>
          <w:color w:val="2D3748"/>
          <w:sz w:val="19"/>
        </w:rPr>
        <w:t>Table d'association Many-to-Many entre Contrat et Article, enrichie d'une colonne ordre garantissant l'ordonnancement exact des clauses lors de la génération du document.</w:t>
      </w:r>
    </w:p>
    <w:p>
      <w:pPr>
        <w:pStyle w:val="ListBullet"/>
        <w:spacing w:line="276" w:lineRule="auto" w:after="50"/>
        <w:jc w:val="both"/>
      </w:pPr>
      <w:r>
        <w:rPr>
          <w:rFonts w:ascii="Calibri" w:hAnsi="Calibri"/>
          <w:b/>
          <w:color w:val="1B365D"/>
          <w:sz w:val="19"/>
        </w:rPr>
        <w:t xml:space="preserve">AuditLog : </w:t>
      </w:r>
      <w:r>
        <w:rPr>
          <w:rFonts w:ascii="Calibri" w:hAnsi="Calibri"/>
          <w:color w:val="2D3748"/>
          <w:sz w:val="19"/>
        </w:rPr>
        <w:t>Entité de traçabilité enregistrant chaque opération sensible, son auteur, l'entité ciblée, l'adresse IP et les états avant/après au format JSONB.</w:t>
      </w:r>
    </w:p>
    <w:p>
      <w:pPr>
        <w:pStyle w:val="ListBullet"/>
        <w:spacing w:line="276" w:lineRule="auto" w:after="50"/>
        <w:jc w:val="both"/>
      </w:pPr>
      <w:r>
        <w:rPr>
          <w:rFonts w:ascii="Calibri" w:hAnsi="Calibri"/>
          <w:b/>
          <w:color w:val="1B365D"/>
          <w:sz w:val="19"/>
        </w:rPr>
        <w:t xml:space="preserve">Notification : </w:t>
      </w:r>
      <w:r>
        <w:rPr>
          <w:rFonts w:ascii="Calibri" w:hAnsi="Calibri"/>
          <w:color w:val="2D3748"/>
          <w:sz w:val="19"/>
        </w:rPr>
        <w:t>Stocke les alertes d'expiration et notifications système. Comporte un champ dedup_key unique garantissant l'absence de doublons.</w:t>
      </w:r>
    </w:p>
    <w:p>
      <w:pPr>
        <w:keepNext/>
        <w:spacing w:before="240" w:after="100"/>
      </w:pPr>
      <w:r>
        <w:rPr>
          <w:rFonts w:ascii="Calibri" w:hAnsi="Calibri"/>
          <w:b/>
          <w:color w:val="2B6CB0"/>
          <w:sz w:val="26"/>
        </w:rPr>
        <w:t>3.6 Conception Dynamique et Diagrammes de Séquence</w:t>
      </w:r>
    </w:p>
    <w:p>
      <w:pPr>
        <w:spacing w:line="276" w:lineRule="auto" w:after="80"/>
        <w:jc w:val="both"/>
      </w:pPr>
      <w:r>
        <w:rPr>
          <w:rFonts w:ascii="Calibri" w:hAnsi="Calibri"/>
          <w:color w:val="2D3748"/>
          <w:sz w:val="20"/>
        </w:rPr>
        <w:t>Pour décrire le comportement temporel du système, nous présentons deux diagrammes de séquence illustrant des cas critiques.</w:t>
      </w:r>
    </w:p>
    <w:p>
      <w:pPr>
        <w:spacing w:line="276" w:lineRule="auto" w:after="120"/>
        <w:jc w:val="both"/>
      </w:pPr>
      <w:r>
        <w:rPr>
          <w:rFonts w:ascii="Calibri" w:hAnsi="Calibri"/>
          <w:b/>
          <w:color w:val="1B365D"/>
          <w:sz w:val="20"/>
        </w:rPr>
        <w:t xml:space="preserve">1. Authentification Sécurisée &amp; Émission des Tokens : </w:t>
      </w:r>
      <w:r>
        <w:rPr>
          <w:rFonts w:ascii="Calibri" w:hAnsi="Calibri"/>
          <w:color w:val="2D3748"/>
          <w:sz w:val="20"/>
        </w:rPr>
        <w:t>Le premier scénario (Figure 4) modélise la procédure d'authentification sécurisée : vérification du mot de passe avec Bcrypt, contrôle du verrouillage de compte (lockout) et émission conjointe d'un Access Token (durée courte) et d'un Refresh Token (durée longue, stocké de manière sécurisée).</w:t>
      </w:r>
    </w:p>
    <w:p>
      <w:pPr>
        <w:keepNext/>
        <w:spacing w:before="120" w:after="40"/>
        <w:jc w:val="center"/>
      </w:pPr>
      <w:r>
        <w:drawing>
          <wp:inline xmlns:a="http://schemas.openxmlformats.org/drawingml/2006/main" xmlns:pic="http://schemas.openxmlformats.org/drawingml/2006/picture">
            <wp:extent cx="5029200" cy="2722228"/>
            <wp:docPr id="5" name="Picture 5"/>
            <wp:cNvGraphicFramePr>
              <a:graphicFrameLocks noChangeAspect="1"/>
            </wp:cNvGraphicFramePr>
            <a:graphic>
              <a:graphicData uri="http://schemas.openxmlformats.org/drawingml/2006/picture">
                <pic:pic>
                  <pic:nvPicPr>
                    <pic:cNvPr id="0" name="fig_sequence_auth.png"/>
                    <pic:cNvPicPr/>
                  </pic:nvPicPr>
                  <pic:blipFill>
                    <a:blip r:embed="rId15"/>
                    <a:stretch>
                      <a:fillRect/>
                    </a:stretch>
                  </pic:blipFill>
                  <pic:spPr>
                    <a:xfrm>
                      <a:off x="0" y="0"/>
                      <a:ext cx="5029200" cy="2722228"/>
                    </a:xfrm>
                    <a:prstGeom prst="rect"/>
                  </pic:spPr>
                </pic:pic>
              </a:graphicData>
            </a:graphic>
          </wp:inline>
        </w:drawing>
      </w:r>
    </w:p>
    <w:p>
      <w:pPr>
        <w:spacing w:before="0" w:after="140"/>
        <w:jc w:val="center"/>
      </w:pPr>
      <w:r>
        <w:rPr>
          <w:rFonts w:ascii="Calibri" w:hAnsi="Calibri"/>
          <w:b/>
          <w:color w:val="1B365D"/>
          <w:sz w:val="17"/>
        </w:rPr>
        <w:t xml:space="preserve">Figure 4 — </w:t>
      </w:r>
      <w:r>
        <w:rPr>
          <w:rFonts w:ascii="Calibri" w:hAnsi="Calibri"/>
          <w:i/>
          <w:color w:val="718096"/>
          <w:sz w:val="17"/>
        </w:rPr>
        <w:t>Diagramme de Séquence : Authentification Sécurisée JWT</w:t>
      </w:r>
    </w:p>
    <w:p>
      <w:pPr>
        <w:spacing w:line="276" w:lineRule="auto" w:after="120"/>
        <w:jc w:val="both"/>
      </w:pPr>
      <w:r>
        <w:rPr>
          <w:rFonts w:ascii="Calibri" w:hAnsi="Calibri"/>
          <w:b/>
          <w:color w:val="1B365D"/>
          <w:sz w:val="20"/>
        </w:rPr>
        <w:t xml:space="preserve">2. Rédaction Assistée par l'Assistant IA : </w:t>
      </w:r>
      <w:r>
        <w:rPr>
          <w:rFonts w:ascii="Calibri" w:hAnsi="Calibri"/>
          <w:color w:val="2D3748"/>
          <w:sz w:val="20"/>
        </w:rPr>
        <w:t>Le second scénario (Figure 5) détaille le flux innovant de rédaction d'une clause contractuelle assistée par l'IA : transmission du prompt du responsable RH à l'API FastAPI, interconnexion avec Google Gemini avec un schéma JSON strict, journalisation automatique dans l'AuditLog et retour d'un payload enrichi (paragraphes et tableaux) visualisable en direct dans la modale React.</w:t>
      </w:r>
    </w:p>
    <w:p>
      <w:pPr>
        <w:keepNext/>
        <w:spacing w:before="120" w:after="40"/>
        <w:jc w:val="center"/>
      </w:pPr>
      <w:r>
        <w:drawing>
          <wp:inline xmlns:a="http://schemas.openxmlformats.org/drawingml/2006/main" xmlns:pic="http://schemas.openxmlformats.org/drawingml/2006/picture">
            <wp:extent cx="5029200" cy="2722228"/>
            <wp:docPr id="6" name="Picture 6"/>
            <wp:cNvGraphicFramePr>
              <a:graphicFrameLocks noChangeAspect="1"/>
            </wp:cNvGraphicFramePr>
            <a:graphic>
              <a:graphicData uri="http://schemas.openxmlformats.org/drawingml/2006/picture">
                <pic:pic>
                  <pic:nvPicPr>
                    <pic:cNvPr id="0" name="fig_sequence_ai_clause.png"/>
                    <pic:cNvPicPr/>
                  </pic:nvPicPr>
                  <pic:blipFill>
                    <a:blip r:embed="rId16"/>
                    <a:stretch>
                      <a:fillRect/>
                    </a:stretch>
                  </pic:blipFill>
                  <pic:spPr>
                    <a:xfrm>
                      <a:off x="0" y="0"/>
                      <a:ext cx="5029200" cy="2722228"/>
                    </a:xfrm>
                    <a:prstGeom prst="rect"/>
                  </pic:spPr>
                </pic:pic>
              </a:graphicData>
            </a:graphic>
          </wp:inline>
        </w:drawing>
      </w:r>
    </w:p>
    <w:p>
      <w:pPr>
        <w:spacing w:before="0" w:after="140"/>
        <w:jc w:val="center"/>
      </w:pPr>
      <w:r>
        <w:rPr>
          <w:rFonts w:ascii="Calibri" w:hAnsi="Calibri"/>
          <w:b/>
          <w:color w:val="1B365D"/>
          <w:sz w:val="17"/>
        </w:rPr>
        <w:t xml:space="preserve">Figure 5 — </w:t>
      </w:r>
      <w:r>
        <w:rPr>
          <w:rFonts w:ascii="Calibri" w:hAnsi="Calibri"/>
          <w:i/>
          <w:color w:val="718096"/>
          <w:sz w:val="17"/>
        </w:rPr>
        <w:t>Diagramme de Séquence : Rédaction de Clause via l'Assistant IA</w:t>
      </w:r>
    </w:p>
    <w:p>
      <w:pPr>
        <w:keepNext/>
        <w:spacing w:before="240" w:after="100"/>
      </w:pPr>
      <w:r>
        <w:rPr>
          <w:rFonts w:ascii="Calibri" w:hAnsi="Calibri"/>
          <w:b/>
          <w:color w:val="2B6CB0"/>
          <w:sz w:val="26"/>
        </w:rPr>
        <w:t>3.7 Modélisation du Cycle de Vie des Contrats (Machine à États)</w:t>
      </w:r>
    </w:p>
    <w:p>
      <w:pPr>
        <w:spacing w:line="276" w:lineRule="auto" w:after="120"/>
        <w:jc w:val="both"/>
      </w:pPr>
      <w:r>
        <w:rPr>
          <w:rFonts w:ascii="Calibri" w:hAnsi="Calibri"/>
          <w:color w:val="2D3748"/>
          <w:sz w:val="20"/>
        </w:rPr>
        <w:t>La gestion des statuts de contrat a fait l'objet d'une conception rigoureuse sous la forme d'une machine à états finis (Figure 6). Contrairement à une simple sélection libre de statuts, le système n'autorise que les transitions strictement logiques et conformes au droit social :</w:t>
      </w:r>
    </w:p>
    <w:p>
      <w:pPr>
        <w:keepNext/>
        <w:spacing w:before="120" w:after="40"/>
        <w:jc w:val="center"/>
      </w:pPr>
      <w:r>
        <w:drawing>
          <wp:inline xmlns:a="http://schemas.openxmlformats.org/drawingml/2006/main" xmlns:pic="http://schemas.openxmlformats.org/drawingml/2006/picture">
            <wp:extent cx="5120640" cy="2753958"/>
            <wp:docPr id="7" name="Picture 7"/>
            <wp:cNvGraphicFramePr>
              <a:graphicFrameLocks noChangeAspect="1"/>
            </wp:cNvGraphicFramePr>
            <a:graphic>
              <a:graphicData uri="http://schemas.openxmlformats.org/drawingml/2006/picture">
                <pic:pic>
                  <pic:nvPicPr>
                    <pic:cNvPr id="0" name="fig_contract_lifecycle.png"/>
                    <pic:cNvPicPr/>
                  </pic:nvPicPr>
                  <pic:blipFill>
                    <a:blip r:embed="rId17"/>
                    <a:stretch>
                      <a:fillRect/>
                    </a:stretch>
                  </pic:blipFill>
                  <pic:spPr>
                    <a:xfrm>
                      <a:off x="0" y="0"/>
                      <a:ext cx="5120640" cy="2753958"/>
                    </a:xfrm>
                    <a:prstGeom prst="rect"/>
                  </pic:spPr>
                </pic:pic>
              </a:graphicData>
            </a:graphic>
          </wp:inline>
        </w:drawing>
      </w:r>
    </w:p>
    <w:p>
      <w:pPr>
        <w:spacing w:before="0" w:after="140"/>
        <w:jc w:val="center"/>
      </w:pPr>
      <w:r>
        <w:rPr>
          <w:rFonts w:ascii="Calibri" w:hAnsi="Calibri"/>
          <w:b/>
          <w:color w:val="1B365D"/>
          <w:sz w:val="17"/>
        </w:rPr>
        <w:t xml:space="preserve">Figure 6 — </w:t>
      </w:r>
      <w:r>
        <w:rPr>
          <w:rFonts w:ascii="Calibri" w:hAnsi="Calibri"/>
          <w:i/>
          <w:color w:val="718096"/>
          <w:sz w:val="17"/>
        </w:rPr>
        <w:t>Machine à États &amp; Cycle de Vie des Statuts de Contrats</w:t>
      </w:r>
    </w:p>
    <w:p>
      <w:pPr>
        <w:spacing w:line="276" w:lineRule="auto" w:after="120"/>
        <w:jc w:val="both"/>
      </w:pPr>
      <w:r>
        <w:rPr>
          <w:rFonts w:ascii="Calibri" w:hAnsi="Calibri"/>
          <w:color w:val="2D3748"/>
          <w:sz w:val="20"/>
        </w:rPr>
        <w:t>Le Tableau 4 synthétise la sémantique et les règles appliquées à chaque statut :</w:t>
      </w:r>
    </w:p>
    <w:tbl>
      <w:tblPr>
        <w:tblW w:type="auto" w:w="0"/>
        <w:jc w:val="center"/>
        <w:tblLayout w:type="fixed"/>
        <w:tblLook w:firstColumn="1" w:firstRow="1" w:lastColumn="0" w:lastRow="0" w:noHBand="0" w:noVBand="1" w:val="04A0"/>
      </w:tblPr>
      <w:tblGrid>
        <w:gridCol w:w="2293"/>
        <w:gridCol w:w="2293"/>
        <w:gridCol w:w="2293"/>
        <w:gridCol w:w="2293"/>
      </w:tblGrid>
      <w:tr>
        <w:tc>
          <w:tcPr>
            <w:tcW w:type="dxa" w:w="201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Code Enum</w:t>
            </w:r>
          </w:p>
        </w:tc>
        <w:tc>
          <w:tcPr>
            <w:tcW w:type="dxa" w:w="201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Libellé Interface</w:t>
            </w:r>
          </w:p>
        </w:tc>
        <w:tc>
          <w:tcPr>
            <w:tcW w:type="dxa" w:w="331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Définition Métier &amp; Portée Juridique</w:t>
            </w:r>
          </w:p>
        </w:tc>
        <w:tc>
          <w:tcPr>
            <w:tcW w:type="dxa" w:w="244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Transitions Autorisées</w:t>
            </w:r>
          </w:p>
        </w:tc>
      </w:tr>
      <w:tr>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BROUILLON</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Brouillon</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en cours de composition ou de révision. Modifiable librement.</w:t>
            </w:r>
          </w:p>
        </w:tc>
        <w:tc>
          <w:tcPr>
            <w:tcW w:type="dxa" w:w="244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COMMUNIQUE_EN_COURS, PAS_DISCUTE</w:t>
            </w:r>
          </w:p>
        </w:tc>
      </w:tr>
      <w:tr>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COMMUNIQUE_EN_COURS</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Communiqué (en cours)</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transmis au salarié pour lecture et examen.</w:t>
            </w:r>
          </w:p>
        </w:tc>
        <w:tc>
          <w:tcPr>
            <w:tcW w:type="dxa" w:w="244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SIGNE, BROUILLON</w:t>
            </w:r>
          </w:p>
        </w:tc>
      </w:tr>
      <w:tr>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SIGNE</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Signé</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paraphé et signé par les deux parties prenantes.</w:t>
            </w:r>
          </w:p>
        </w:tc>
        <w:tc>
          <w:tcPr>
            <w:tcW w:type="dxa" w:w="244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ACTIF</w:t>
            </w:r>
          </w:p>
        </w:tc>
      </w:tr>
      <w:tr>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ACTIF</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Actif</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en vigueur. Déclenche l'envoi d'un email d'activation. Fait foi juridiquement.</w:t>
            </w:r>
          </w:p>
        </w:tc>
        <w:tc>
          <w:tcPr>
            <w:tcW w:type="dxa" w:w="244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FIN_CDD (si CDD), DEMISSION_CDI (si CDI)</w:t>
            </w:r>
          </w:p>
        </w:tc>
      </w:tr>
      <w:tr>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FIN_CDD</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Fin CDD</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Terme légal atteint pour un contrat à durée déterminée.</w:t>
            </w:r>
          </w:p>
        </w:tc>
        <w:tc>
          <w:tcPr>
            <w:tcW w:type="dxa" w:w="244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INACTIF</w:t>
            </w:r>
          </w:p>
        </w:tc>
      </w:tr>
      <w:tr>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DEMISSION_CDI</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Démission (CDI)</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Rupture du contrat à durée indéterminée à l'initiative du collaborateur.</w:t>
            </w:r>
          </w:p>
        </w:tc>
        <w:tc>
          <w:tcPr>
            <w:tcW w:type="dxa" w:w="244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INACTIF</w:t>
            </w:r>
          </w:p>
        </w:tc>
      </w:tr>
      <w:tr>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PAS_DISCUTE</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Pas discuté</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Statut spécifique réservé aux situations contractuelles non arbitrées.</w:t>
            </w:r>
          </w:p>
        </w:tc>
        <w:tc>
          <w:tcPr>
            <w:tcW w:type="dxa" w:w="244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BROUILLON, COMMUNIQUE_EN_COURS</w:t>
            </w:r>
          </w:p>
        </w:tc>
      </w:tr>
      <w:tr>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INACTIF</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Inactif (archivé)</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Contrat historisé et clos. Ne génère aucune alerte et ne figure plus comme actif.</w:t>
            </w:r>
          </w:p>
        </w:tc>
        <w:tc>
          <w:tcPr>
            <w:tcW w:type="dxa" w:w="244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État final (Archivé)</w:t>
            </w:r>
          </w:p>
        </w:tc>
      </w:tr>
    </w:tbl>
    <w:p>
      <w:pPr>
        <w:spacing w:after="100"/>
      </w:pPr>
    </w:p>
    <w:p>
      <w:pPr>
        <w:keepNext/>
        <w:spacing w:before="240" w:after="100"/>
      </w:pPr>
      <w:r>
        <w:rPr>
          <w:rFonts w:ascii="Calibri" w:hAnsi="Calibri"/>
          <w:b/>
          <w:color w:val="2B6CB0"/>
          <w:sz w:val="26"/>
        </w:rPr>
        <w:t>3.8 Sécurité, Authentification et Contrôle d'Accès (RBAC)</w:t>
      </w:r>
    </w:p>
    <w:p>
      <w:pPr>
        <w:spacing w:line="276" w:lineRule="auto" w:after="80"/>
        <w:jc w:val="both"/>
      </w:pPr>
      <w:r>
        <w:rPr>
          <w:rFonts w:ascii="Calibri" w:hAnsi="Calibri"/>
          <w:color w:val="2D3748"/>
          <w:sz w:val="20"/>
        </w:rPr>
        <w:t>La sécurité des données RH constituant un impératif absolu, le système déploie un ensemble de mécanismes de défense en profondeur :</w:t>
      </w:r>
    </w:p>
    <w:p>
      <w:pPr>
        <w:pStyle w:val="ListBullet"/>
        <w:spacing w:line="276" w:lineRule="auto" w:after="50"/>
        <w:jc w:val="both"/>
      </w:pPr>
      <w:r>
        <w:rPr>
          <w:rFonts w:ascii="Calibri" w:hAnsi="Calibri"/>
          <w:b/>
          <w:color w:val="1B365D"/>
          <w:sz w:val="19"/>
        </w:rPr>
        <w:t xml:space="preserve">Hachage robuste des secrets : </w:t>
      </w:r>
      <w:r>
        <w:rPr>
          <w:rFonts w:ascii="Calibri" w:hAnsi="Calibri"/>
          <w:color w:val="2D3748"/>
          <w:sz w:val="19"/>
        </w:rPr>
        <w:t>Chaque mot de passe est haché avec l'algorithme Bcrypt (sel cryptographique dynamique de coût 12), rendant impossible toute rétro-ingénierie.</w:t>
      </w:r>
    </w:p>
    <w:p>
      <w:pPr>
        <w:pStyle w:val="ListBullet"/>
        <w:spacing w:line="276" w:lineRule="auto" w:after="50"/>
        <w:jc w:val="both"/>
      </w:pPr>
      <w:r>
        <w:rPr>
          <w:rFonts w:ascii="Calibri" w:hAnsi="Calibri"/>
          <w:b/>
          <w:color w:val="1B365D"/>
          <w:sz w:val="19"/>
        </w:rPr>
        <w:t xml:space="preserve">Protection Anti-Brute Force : </w:t>
      </w:r>
      <w:r>
        <w:rPr>
          <w:rFonts w:ascii="Calibri" w:hAnsi="Calibri"/>
          <w:color w:val="2D3748"/>
          <w:sz w:val="19"/>
        </w:rPr>
        <w:t>Après 5 échecs consécutifs d'authentification sur un même compte, l'accès est automatiquement bloqué pendant 15 minutes, neutralisant les attaques par dictionnaire.</w:t>
      </w:r>
    </w:p>
    <w:p>
      <w:pPr>
        <w:pStyle w:val="ListBullet"/>
        <w:spacing w:line="276" w:lineRule="auto" w:after="50"/>
        <w:jc w:val="both"/>
      </w:pPr>
      <w:r>
        <w:rPr>
          <w:rFonts w:ascii="Calibri" w:hAnsi="Calibri"/>
          <w:b/>
          <w:color w:val="1B365D"/>
          <w:sz w:val="19"/>
        </w:rPr>
        <w:t xml:space="preserve">Jetons JWT éphémères et Refresh Tokens : </w:t>
      </w:r>
      <w:r>
        <w:rPr>
          <w:rFonts w:ascii="Calibri" w:hAnsi="Calibri"/>
          <w:color w:val="2D3748"/>
          <w:sz w:val="19"/>
        </w:rPr>
        <w:t>L'Access Token est émis avec une durée de validité réduite (30 minutes). Le renouvellement transparent de session est assuré par un Refresh Token sécurisé à rotation systématique.</w:t>
      </w:r>
    </w:p>
    <w:p>
      <w:pPr>
        <w:pStyle w:val="ListBullet"/>
        <w:spacing w:line="276" w:lineRule="auto" w:after="50"/>
        <w:jc w:val="both"/>
      </w:pPr>
      <w:r>
        <w:rPr>
          <w:rFonts w:ascii="Calibri" w:hAnsi="Calibri"/>
          <w:b/>
          <w:color w:val="1B365D"/>
          <w:sz w:val="19"/>
        </w:rPr>
        <w:t xml:space="preserve">Contrôle d'accès basé sur les rôles (RBAC) : </w:t>
      </w:r>
      <w:r>
        <w:rPr>
          <w:rFonts w:ascii="Calibri" w:hAnsi="Calibri"/>
          <w:color w:val="2D3748"/>
          <w:sz w:val="19"/>
        </w:rPr>
        <w:t>Chaque route d'API vérifie les droits du jeton via le système d'injection de dépendances de FastAPI (ex: Depends(require_role([RoleEnum.ADMIN, RoleEnum.RH]))).</w:t>
      </w:r>
    </w:p>
    <w:p>
      <w:pPr>
        <w:keepNext/>
        <w:spacing w:before="240" w:after="100"/>
      </w:pPr>
      <w:r>
        <w:rPr>
          <w:rFonts w:ascii="Calibri" w:hAnsi="Calibri"/>
          <w:b/>
          <w:color w:val="2B6CB0"/>
          <w:sz w:val="26"/>
        </w:rPr>
        <w:t>3.9 Justification des Choix Technologiques</w:t>
      </w:r>
    </w:p>
    <w:p>
      <w:pPr>
        <w:spacing w:line="276" w:lineRule="auto" w:after="120"/>
        <w:jc w:val="both"/>
      </w:pPr>
      <w:r>
        <w:rPr>
          <w:rFonts w:ascii="Calibri" w:hAnsi="Calibri"/>
          <w:color w:val="2D3748"/>
          <w:sz w:val="20"/>
        </w:rPr>
        <w:t>Le Tableau 5 détaille les arguments comparatifs ayant présidé au choix des composants de la stack technique :</w:t>
      </w:r>
    </w:p>
    <w:tbl>
      <w:tblPr>
        <w:tblW w:type="auto" w:w="0"/>
        <w:jc w:val="center"/>
        <w:tblLayout w:type="fixed"/>
        <w:tblLook w:firstColumn="1" w:firstRow="1" w:lastColumn="0" w:lastRow="0" w:noHBand="0" w:noVBand="1" w:val="04A0"/>
      </w:tblPr>
      <w:tblGrid>
        <w:gridCol w:w="2293"/>
        <w:gridCol w:w="2293"/>
        <w:gridCol w:w="2293"/>
        <w:gridCol w:w="2293"/>
      </w:tblGrid>
      <w:tr>
        <w:tc>
          <w:tcPr>
            <w:tcW w:type="dxa" w:w="144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Domaine</w:t>
            </w:r>
          </w:p>
        </w:tc>
        <w:tc>
          <w:tcPr>
            <w:tcW w:type="dxa" w:w="187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Technologie Retenue</w:t>
            </w:r>
          </w:p>
        </w:tc>
        <w:tc>
          <w:tcPr>
            <w:tcW w:type="dxa" w:w="172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Alternatives Comparées</w:t>
            </w:r>
          </w:p>
        </w:tc>
        <w:tc>
          <w:tcPr>
            <w:tcW w:type="dxa" w:w="47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Justification Technique &amp; Bénéfices Métiers</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Backend</w:t>
            </w:r>
          </w:p>
        </w:tc>
        <w:tc>
          <w:tcPr>
            <w:tcW w:type="dxa" w:w="187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FastAPI (Python)</w:t>
            </w:r>
          </w:p>
        </w:tc>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Django, Flask</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Performance asynchrone exceptionnelle (ASGI), typage statique puissant via Pydantic prévenant les anomalies à l'exécution, documentation interactive Swagger native.</w:t>
            </w:r>
          </w:p>
        </w:tc>
      </w:tr>
      <w:tr>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Frontend</w:t>
            </w:r>
          </w:p>
        </w:tc>
        <w:tc>
          <w:tcPr>
            <w:tcW w:type="dxa" w:w="187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React 18 &amp; Vite</w:t>
            </w:r>
          </w:p>
        </w:tc>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Angular, Vue.js</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Écosystème riche de composants, temps de compilation quasi instantané grâce à Vite (ESBuild), gestion élégante de l'état par hooks et Context API.</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Base de Données</w:t>
            </w:r>
          </w:p>
        </w:tc>
        <w:tc>
          <w:tcPr>
            <w:tcW w:type="dxa" w:w="187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PostgreSQL</w:t>
            </w:r>
          </w:p>
        </w:tc>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MySQL, MongoDB</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Robustesse ACID reconnue, support natif du format JSONB pour les articles structurés et les deltas d'audit, puissance des contraintes relationnelles.</w:t>
            </w:r>
          </w:p>
        </w:tc>
      </w:tr>
      <w:tr>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Intelligence Artificielle</w:t>
            </w:r>
          </w:p>
        </w:tc>
        <w:tc>
          <w:tcPr>
            <w:tcW w:type="dxa" w:w="187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Google Gemini 1.5</w:t>
            </w:r>
          </w:p>
        </w:tc>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OpenAI GPT-4, Grok</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Excellente compréhension du français juridique, capacité à respecter strictement des contraintes de schéma JSON (function calling/structured outputs), rapidité de traitement.</w:t>
            </w:r>
          </w:p>
        </w:tc>
      </w:tr>
      <w:tr>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Emails Transactionnels</w:t>
            </w:r>
          </w:p>
        </w:tc>
        <w:tc>
          <w:tcPr>
            <w:tcW w:type="dxa" w:w="187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Brevo API</w:t>
            </w:r>
          </w:p>
        </w:tc>
        <w:tc>
          <w:tcPr>
            <w:tcW w:type="dxa" w:w="172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SMTP Standard</w:t>
            </w:r>
          </w:p>
        </w:tc>
        <w:tc>
          <w:tcPr>
            <w:tcW w:type="dxa" w:w="47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Délivrabilité optimale, suivi en temps réel du statut de distribution des emails, élimination des risques de blocage par les filtres anti-spam.</w:t>
            </w:r>
          </w:p>
        </w:tc>
      </w:tr>
      <w:tr>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DOCX</w:t>
            </w:r>
          </w:p>
        </w:tc>
        <w:tc>
          <w:tcPr>
            <w:tcW w:type="dxa" w:w="187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python-docx</w:t>
            </w:r>
          </w:p>
        </w:tc>
        <w:tc>
          <w:tcPr>
            <w:tcW w:type="dxa" w:w="172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Weasyprint (PDF)</w:t>
            </w:r>
          </w:p>
        </w:tc>
        <w:tc>
          <w:tcPr>
            <w:tcW w:type="dxa" w:w="47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Permet au service RH de modifier ou annoter le document généré sous Word avant impression, support natif des tableaux stylisés.</w:t>
            </w:r>
          </w:p>
        </w:tc>
      </w:tr>
    </w:tbl>
    <w:p>
      <w:pPr>
        <w:spacing w:after="100"/>
      </w:pPr>
    </w:p>
    <w:p>
      <w:pPr>
        <w:keepNext/>
        <w:spacing w:before="240" w:after="100"/>
      </w:pPr>
      <w:r>
        <w:rPr>
          <w:rFonts w:ascii="Calibri" w:hAnsi="Calibri"/>
          <w:b/>
          <w:color w:val="2B6CB0"/>
          <w:sz w:val="26"/>
        </w:rPr>
        <w:t>3.10 Conclusion du Chapitre</w:t>
      </w:r>
    </w:p>
    <w:p>
      <w:pPr>
        <w:spacing w:line="276" w:lineRule="auto" w:after="200"/>
        <w:jc w:val="both"/>
      </w:pPr>
      <w:r>
        <w:rPr>
          <w:rFonts w:ascii="Calibri" w:hAnsi="Calibri"/>
          <w:color w:val="2D3748"/>
          <w:sz w:val="20"/>
        </w:rPr>
        <w:t>La conception architecturale et la modélisation UML présentées dans ce chapitre établissent un cadre rigoureux et évolutif. Le chapitre suivant expose la réalisation technique et l'implémentation concrète de chaque composant au sein de l'application.</w:t>
      </w:r>
    </w:p>
    <w:p>
      <w:r>
        <w:br w:type="page"/>
      </w:r>
    </w:p>
    <w:p>
      <w:pPr>
        <w:keepNext/>
        <w:spacing w:before="320" w:after="160"/>
      </w:pPr>
      <w:r>
        <w:rPr>
          <w:rFonts w:ascii="Calibri" w:hAnsi="Calibri"/>
          <w:b/>
          <w:color w:val="1B365D"/>
          <w:sz w:val="32"/>
        </w:rPr>
        <w:t>CHAPITRE 4 : RÉALISATION ET MISE EN ŒUVRE DE L'APPLICATION</w:t>
      </w:r>
    </w:p>
    <w:p>
      <w:pPr>
        <w:keepNext/>
        <w:spacing w:before="240" w:after="100"/>
      </w:pPr>
      <w:r>
        <w:rPr>
          <w:rFonts w:ascii="Calibri" w:hAnsi="Calibri"/>
          <w:b/>
          <w:color w:val="2B6CB0"/>
          <w:sz w:val="26"/>
        </w:rPr>
        <w:t>4.1 Introduction</w:t>
      </w:r>
    </w:p>
    <w:p>
      <w:pPr>
        <w:spacing w:line="276" w:lineRule="auto" w:after="160"/>
        <w:jc w:val="both"/>
      </w:pPr>
      <w:r>
        <w:rPr>
          <w:rFonts w:ascii="Calibri" w:hAnsi="Calibri"/>
          <w:color w:val="2D3748"/>
          <w:sz w:val="20"/>
        </w:rPr>
        <w:t>Ce chapitre est consacré à la phase de réalisation concrète de l'application web RH. Il détaille les environnements techniques et outils déployés, puis présente chronologiquement l'implémentation des différents modules fonctionnels : authentification, gestion des collaborateurs, catalogue d'articles, Assistant IA, gestion du cycle de vie des contrats, génération Word, moteur d'alertes dédupliquées, journal d'audit et espace collaborateur. Il s'achève par une galerie commentée des interfaces représentatives.</w:t>
      </w:r>
    </w:p>
    <w:p>
      <w:pPr>
        <w:keepNext/>
        <w:spacing w:before="240" w:after="100"/>
      </w:pPr>
      <w:r>
        <w:rPr>
          <w:rFonts w:ascii="Calibri" w:hAnsi="Calibri"/>
          <w:b/>
          <w:color w:val="2B6CB0"/>
          <w:sz w:val="26"/>
        </w:rPr>
        <w:t>4.2 Environnement de Développement et Outillage</w:t>
      </w:r>
    </w:p>
    <w:p>
      <w:pPr>
        <w:spacing w:line="276" w:lineRule="auto" w:after="80"/>
        <w:jc w:val="both"/>
      </w:pPr>
      <w:r>
        <w:rPr>
          <w:rFonts w:ascii="Calibri" w:hAnsi="Calibri"/>
          <w:color w:val="2D3748"/>
          <w:sz w:val="20"/>
        </w:rPr>
        <w:t>Le développement du projet a mobilisé des outils et frameworks de pointe :</w:t>
      </w:r>
    </w:p>
    <w:p>
      <w:pPr>
        <w:pStyle w:val="ListBullet"/>
        <w:spacing w:line="276" w:lineRule="auto" w:after="50"/>
        <w:jc w:val="both"/>
      </w:pPr>
      <w:r>
        <w:rPr>
          <w:rFonts w:ascii="Calibri" w:hAnsi="Calibri"/>
          <w:b/>
          <w:color w:val="1B365D"/>
          <w:sz w:val="19"/>
        </w:rPr>
        <w:t xml:space="preserve">Environnement Backend : </w:t>
      </w:r>
      <w:r>
        <w:rPr>
          <w:rFonts w:ascii="Calibri" w:hAnsi="Calibri"/>
          <w:color w:val="2D3748"/>
          <w:sz w:val="19"/>
        </w:rPr>
        <w:t>Python 3.10, FastAPI 0.110+, SQLAlchemy 2.0, Pydantic v2, Alembic, python-docx, Pytest 9.1.</w:t>
      </w:r>
    </w:p>
    <w:p>
      <w:pPr>
        <w:pStyle w:val="ListBullet"/>
        <w:spacing w:line="276" w:lineRule="auto" w:after="50"/>
        <w:jc w:val="both"/>
      </w:pPr>
      <w:r>
        <w:rPr>
          <w:rFonts w:ascii="Calibri" w:hAnsi="Calibri"/>
          <w:b/>
          <w:color w:val="1B365D"/>
          <w:sz w:val="19"/>
        </w:rPr>
        <w:t xml:space="preserve">Environnement Frontend : </w:t>
      </w:r>
      <w:r>
        <w:rPr>
          <w:rFonts w:ascii="Calibri" w:hAnsi="Calibri"/>
          <w:color w:val="2D3748"/>
          <w:sz w:val="19"/>
        </w:rPr>
        <w:t>Node.js v20+, React 18, Vite 5, React Router DOM v6, Lucide-React, Axios.</w:t>
      </w:r>
    </w:p>
    <w:p>
      <w:pPr>
        <w:pStyle w:val="ListBullet"/>
        <w:spacing w:line="276" w:lineRule="auto" w:after="50"/>
        <w:jc w:val="both"/>
      </w:pPr>
      <w:r>
        <w:rPr>
          <w:rFonts w:ascii="Calibri" w:hAnsi="Calibri"/>
          <w:b/>
          <w:color w:val="1B365D"/>
          <w:sz w:val="19"/>
        </w:rPr>
        <w:t xml:space="preserve">Environnement Données : </w:t>
      </w:r>
      <w:r>
        <w:rPr>
          <w:rFonts w:ascii="Calibri" w:hAnsi="Calibri"/>
          <w:color w:val="2D3748"/>
          <w:sz w:val="19"/>
        </w:rPr>
        <w:t>PostgreSQL 15, PgAdmin 4, Docker.</w:t>
      </w:r>
    </w:p>
    <w:p>
      <w:pPr>
        <w:pStyle w:val="ListBullet"/>
        <w:spacing w:line="276" w:lineRule="auto" w:after="50"/>
        <w:jc w:val="both"/>
      </w:pPr>
      <w:r>
        <w:rPr>
          <w:rFonts w:ascii="Calibri" w:hAnsi="Calibri"/>
          <w:b/>
          <w:color w:val="1B365D"/>
          <w:sz w:val="19"/>
        </w:rPr>
        <w:t xml:space="preserve">Outils de Développement : </w:t>
      </w:r>
      <w:r>
        <w:rPr>
          <w:rFonts w:ascii="Calibri" w:hAnsi="Calibri"/>
          <w:color w:val="2D3748"/>
          <w:sz w:val="19"/>
        </w:rPr>
        <w:t>Visual Studio Code, Antigravity IDE, Git &amp; GitHub pour le versionnement rigoureux du code source.</w:t>
      </w:r>
    </w:p>
    <w:p>
      <w:pPr>
        <w:keepNext/>
        <w:spacing w:before="240" w:after="100"/>
      </w:pPr>
      <w:r>
        <w:rPr>
          <w:rFonts w:ascii="Calibri" w:hAnsi="Calibri"/>
          <w:b/>
          <w:color w:val="2B6CB0"/>
          <w:sz w:val="26"/>
        </w:rPr>
        <w:t>4.3 Module d'Authentification et Gestion des Sessions</w:t>
      </w:r>
    </w:p>
    <w:p>
      <w:pPr>
        <w:spacing w:line="276" w:lineRule="auto" w:after="120"/>
        <w:jc w:val="both"/>
      </w:pPr>
      <w:r>
        <w:rPr>
          <w:rFonts w:ascii="Calibri" w:hAnsi="Calibri"/>
          <w:color w:val="2D3748"/>
          <w:sz w:val="20"/>
        </w:rPr>
        <w:t>L'accès à l'application débute par une mire de connexion épurée et sécurisée. Le formulaire capture l'identifiant (email) et le mot de passe, soumis via une requête sécurisée à l'endpoint /api/auth/login. Le composant gère les retours visuels interactifs : affichage d'un indicateur de chargement, notification explicite en cas d'identifiants incorrects ou avertissement si le compte fait l'objet d'un verrouillage temporaire.</w:t>
      </w:r>
    </w:p>
    <w:p>
      <w:pPr>
        <w:keepNext/>
        <w:spacing w:before="240" w:after="100"/>
      </w:pPr>
      <w:r>
        <w:rPr>
          <w:rFonts w:ascii="Calibri" w:hAnsi="Calibri"/>
          <w:b/>
          <w:color w:val="2B6CB0"/>
          <w:sz w:val="26"/>
        </w:rPr>
        <w:t>4.4 Module de Gestion des Dossiers Collaborateurs</w:t>
      </w:r>
    </w:p>
    <w:p>
      <w:pPr>
        <w:spacing w:line="276" w:lineRule="auto" w:after="120"/>
        <w:jc w:val="both"/>
      </w:pPr>
      <w:r>
        <w:rPr>
          <w:rFonts w:ascii="Calibri" w:hAnsi="Calibri"/>
          <w:color w:val="2D3748"/>
          <w:sz w:val="20"/>
        </w:rPr>
        <w:t>Le module de gestion des employés offre une vue d'ensemble ergonomique du capital humain de l'entreprise. L'interface propose un tableau paginé affichant le matricule, le nom, le prénom, l'adresse email professionnelle, le département d'affectation, le poste occupé et la date d'embauche. Des filtres dynamiques permettent une recherche instantanée par nom ou département. Un formulaire modal dédié permet d'ajouter un nouveau collaborateur ou d'éditer ses informations, avec validation immédiate des formats de téléphone et d'email.</w:t>
      </w:r>
    </w:p>
    <w:p>
      <w:pPr>
        <w:keepNext/>
        <w:spacing w:before="240" w:after="100"/>
      </w:pPr>
      <w:r>
        <w:rPr>
          <w:rFonts w:ascii="Calibri" w:hAnsi="Calibri"/>
          <w:b/>
          <w:color w:val="2B6CB0"/>
          <w:sz w:val="26"/>
        </w:rPr>
        <w:t>4.5 Bibliothèque d'Articles Contractuels Réutilisables</w:t>
      </w:r>
    </w:p>
    <w:p>
      <w:pPr>
        <w:spacing w:line="276" w:lineRule="auto" w:after="120"/>
        <w:jc w:val="both"/>
      </w:pPr>
      <w:r>
        <w:rPr>
          <w:rFonts w:ascii="Calibri" w:hAnsi="Calibri"/>
          <w:color w:val="2D3748"/>
          <w:sz w:val="20"/>
        </w:rPr>
        <w:t>L'un des points forts fonctionnels de l'application réside dans la modularité de ses clauses. Le responsable RH accède à une bibliothèque centralisée d'articles types (clause de confidentialité, période d'essai, télétravail, rémunération, non-concurrence). Chaque article est identifié par un code normalisé, un titre explicite et un contenu éditable. Un commutateur permet d'activer ou de désactiver une clause sans jamais supprimer l'historique des contrats qui y font référence.</w:t>
      </w:r>
    </w:p>
    <w:p>
      <w:pPr>
        <w:keepNext/>
        <w:spacing w:before="240" w:after="100"/>
      </w:pPr>
      <w:r>
        <w:rPr>
          <w:rFonts w:ascii="Calibri" w:hAnsi="Calibri"/>
          <w:b/>
          <w:color w:val="2B6CB0"/>
          <w:sz w:val="26"/>
        </w:rPr>
        <w:t>4.6 Assistant IA pour la Rédaction de Clauses Contractuelles</w:t>
      </w:r>
    </w:p>
    <w:p>
      <w:pPr>
        <w:spacing w:line="276" w:lineRule="auto" w:after="80"/>
        <w:jc w:val="both"/>
      </w:pPr>
      <w:r>
        <w:rPr>
          <w:rFonts w:ascii="Calibri" w:hAnsi="Calibri"/>
          <w:color w:val="2D3748"/>
          <w:sz w:val="20"/>
        </w:rPr>
        <w:t>Pour apporter une assistance opérationnelle à forte valeur ajoutée, l'application intègre un Assistant d'Intelligence Artificielle générative exploitant l'API Google Gemini 1.5, spécialement configuré pour la rédaction de clauses juridiques en droit social.</w:t>
      </w:r>
    </w:p>
    <w:p>
      <w:pPr>
        <w:spacing w:line="276" w:lineRule="auto" w:after="80"/>
        <w:jc w:val="both"/>
      </w:pPr>
      <w:r>
        <w:rPr>
          <w:rFonts w:ascii="Calibri" w:hAnsi="Calibri"/>
          <w:b/>
          <w:color w:val="1B365D"/>
          <w:sz w:val="20"/>
        </w:rPr>
        <w:t xml:space="preserve">• Principe d'assistance : </w:t>
      </w:r>
      <w:r>
        <w:rPr>
          <w:rFonts w:ascii="Calibri" w:hAnsi="Calibri"/>
          <w:color w:val="2D3748"/>
          <w:sz w:val="20"/>
        </w:rPr>
        <w:t>L'administrateur RH saisit une consigne en langage naturel (ex : 'Rédige une clause de télétravail prévoyant 2 jours par semaine sous droit français/tunisien'). L'assistant génère alors une proposition de clause claire, précise et professionnellement formulée.</w:t>
      </w:r>
    </w:p>
    <w:p>
      <w:pPr>
        <w:spacing w:line="276" w:lineRule="auto" w:after="80"/>
        <w:jc w:val="both"/>
      </w:pPr>
      <w:r>
        <w:rPr>
          <w:rFonts w:ascii="Calibri" w:hAnsi="Calibri"/>
          <w:b/>
          <w:color w:val="1B365D"/>
          <w:sz w:val="20"/>
        </w:rPr>
        <w:t xml:space="preserve">• Prise en charge des tableaux de rémunération : </w:t>
      </w:r>
      <w:r>
        <w:rPr>
          <w:rFonts w:ascii="Calibri" w:hAnsi="Calibri"/>
          <w:color w:val="2D3748"/>
          <w:sz w:val="20"/>
        </w:rPr>
        <w:t>L'assistant dépasse la simple génération de texte brut en prenant en charge des structures complexes comprenant des paragraphes, des tableaux natifs (particulièrement pertinents pour formaliser des grilles de salaire ou des barèmes d'objectifs) ou un mélange harmonieux des deux (format mixte).</w:t>
      </w:r>
    </w:p>
    <w:p>
      <w:pPr>
        <w:spacing w:line="276" w:lineRule="auto" w:after="120"/>
        <w:jc w:val="both"/>
      </w:pPr>
      <w:r>
        <w:rPr>
          <w:rFonts w:ascii="Calibri" w:hAnsi="Calibri"/>
          <w:b/>
          <w:color w:val="1B365D"/>
          <w:sz w:val="20"/>
        </w:rPr>
        <w:t xml:space="preserve">• Validation humaine obligatoire : </w:t>
      </w:r>
      <w:r>
        <w:rPr>
          <w:rFonts w:ascii="Calibri" w:hAnsi="Calibri"/>
          <w:color w:val="2D3748"/>
          <w:sz w:val="20"/>
        </w:rPr>
        <w:t>L'Assistant IA est conçu comme un outil d'assistance à la rédaction et non comme un juriste autonome. Le responsable RH conserve la pleine maîtrise éditoriale : il peut relire la clause générée, modifier ses valeurs chiffrées dans un éditeur dédié et ne l'enregistre dans la bibliothèque qu'après validation explicite.</w:t>
      </w:r>
    </w:p>
    <w:tbl>
      <w:tblPr>
        <w:tblW w:type="auto" w:w="0"/>
        <w:jc w:val="center"/>
        <w:tblLook w:firstColumn="1" w:firstRow="1" w:lastColumn="0" w:lastRow="0" w:noHBand="0" w:noVBand="1" w:val="04A0"/>
      </w:tblPr>
      <w:tblGrid>
        <w:gridCol w:w="9173"/>
      </w:tblGrid>
      <w:tr>
        <w:tc>
          <w:tcPr>
            <w:tcW w:type="dxa" w:w="9173"/>
            <w:shd w:fill="EBF8FF"/>
            <w:tcMar>
              <w:top w:w="90" w:type="dxa"/>
              <w:bottom w:w="90" w:type="dxa"/>
              <w:left w:w="160" w:type="dxa"/>
              <w:right w:w="160" w:type="dxa"/>
            </w:tcMar>
            <w:tcBorders>
              <w:top w:val="none"/>
              <w:bottom w:val="none"/>
              <w:left w:val="single" w:sz="24" w:space="0" w:color="2B6CB0"/>
              <w:right w:val="none"/>
            </w:tcBorders>
          </w:tcPr>
          <w:p>
            <w:pPr>
              <w:spacing w:line="269" w:lineRule="auto" w:after="0"/>
            </w:pPr>
            <w:r>
              <w:rPr>
                <w:rFonts w:ascii="Calibri" w:hAnsi="Calibri"/>
                <w:b/>
                <w:color w:val="2B6CB0"/>
                <w:sz w:val="19"/>
              </w:rPr>
              <w:t xml:space="preserve">📌 Garantie de robustesse du service IA : </w:t>
            </w:r>
            <w:r>
              <w:rPr>
                <w:rFonts w:ascii="Calibri" w:hAnsi="Calibri"/>
                <w:i/>
                <w:color w:val="2D3748"/>
                <w:sz w:val="19"/>
              </w:rPr>
              <w:t>Le service IA dispose d'un mécanisme de secours (fallback) automatique : si le modèle ne renvoie pas la structure JSON attendue, le moteur convertit automatiquement la réponse en un format paragraphe standard et trame l'opération dans le journal d'audit (AuditAction.AI_GENERATE).</w:t>
            </w:r>
          </w:p>
        </w:tc>
      </w:tr>
    </w:tbl>
    <w:p>
      <w:pPr>
        <w:spacing w:after="80"/>
      </w:pPr>
    </w:p>
    <w:p>
      <w:pPr>
        <w:keepNext/>
        <w:spacing w:before="240" w:after="100"/>
      </w:pPr>
      <w:r>
        <w:rPr>
          <w:rFonts w:ascii="Calibri" w:hAnsi="Calibri"/>
          <w:b/>
          <w:color w:val="2B6CB0"/>
          <w:sz w:val="26"/>
        </w:rPr>
        <w:t>4.7 Gestion des Contrats et Nouveaux Workflows de Statuts</w:t>
      </w:r>
    </w:p>
    <w:p>
      <w:pPr>
        <w:spacing w:line="276" w:lineRule="auto" w:after="120"/>
        <w:jc w:val="both"/>
      </w:pPr>
      <w:r>
        <w:rPr>
          <w:rFonts w:ascii="Calibri" w:hAnsi="Calibri"/>
          <w:color w:val="2D3748"/>
          <w:sz w:val="20"/>
        </w:rPr>
        <w:t>Le module des contrats orchestre l'ensemble du cycle de vie juridique. Lors de la création, le responsable RH sélectionne un collaborateur dans la liste déroulante et spécifie le type de contrat (CDI, CDD, Stage, Alternance). L'interface adapte dynamiquement ses champs : la date de fin devient obligatoire pour un CDD alors qu'elle est désactivée pour un CDI.</w:t>
      </w:r>
    </w:p>
    <w:p>
      <w:pPr>
        <w:spacing w:line="276" w:lineRule="auto" w:after="120"/>
        <w:jc w:val="both"/>
      </w:pPr>
      <w:r>
        <w:rPr>
          <w:rFonts w:ascii="Calibri" w:hAnsi="Calibri"/>
          <w:color w:val="2D3748"/>
          <w:sz w:val="20"/>
        </w:rPr>
        <w:t>Le système implémente avec rigueur les nouveaux statuts demandés : BROUILLON, COMMUNIQUE_EN_COURS, SIGNE, ACTIF, FIN_CDD, DEMISSION_CDI, PAS_DISCUTE et INACTIF. Les badges visuels affichent des couleurs sémantiques immédiates (orange pour Brouillon, bleu pour Communiqué, violet pour Signé, vert pour Actif, rouge pour Démission, gris pour Inactif). Les sélecteurs de transition empêchent toute régression illogique (ex : impossible de repasser un contrat Actif à Brouillon).</w:t>
      </w:r>
    </w:p>
    <w:p>
      <w:pPr>
        <w:keepNext/>
        <w:spacing w:before="240" w:after="100"/>
      </w:pPr>
      <w:r>
        <w:rPr>
          <w:rFonts w:ascii="Calibri" w:hAnsi="Calibri"/>
          <w:b/>
          <w:color w:val="2B6CB0"/>
          <w:sz w:val="26"/>
        </w:rPr>
        <w:t>4.8 Moteur de Génération Automatique des Documents Word (.docx)</w:t>
      </w:r>
    </w:p>
    <w:p>
      <w:pPr>
        <w:spacing w:line="276" w:lineRule="auto" w:after="120"/>
        <w:jc w:val="both"/>
      </w:pPr>
      <w:r>
        <w:rPr>
          <w:rFonts w:ascii="Calibri" w:hAnsi="Calibri"/>
          <w:color w:val="2D3748"/>
          <w:sz w:val="20"/>
        </w:rPr>
        <w:t>L'application intègre un moteur de rendu bureautique haute fidélité basé sur python-docx. En cliquant sur le bouton « Générer le contrat », le serveur extrait les données administratives de l'employé et l'ensemble des articles associés au contrat selon leur ordre défini.</w:t>
      </w:r>
    </w:p>
    <w:p>
      <w:pPr>
        <w:spacing w:line="276" w:lineRule="auto" w:after="120"/>
        <w:jc w:val="both"/>
      </w:pPr>
      <w:r>
        <w:rPr>
          <w:rFonts w:ascii="Calibri" w:hAnsi="Calibri"/>
          <w:color w:val="2D3748"/>
          <w:sz w:val="20"/>
        </w:rPr>
        <w:t>Le document généré respecte la charte graphique de CSI Digital : en-tête avec logos, typographie Calibri soignée, paragraphes justifiés, et conversion directe des clauses structurées en véritables tableaux Word natifs dotés d'en-têtes foncés et de bordures élégantes. Le document est immédiatement téléchargeable par l'administrateur RH ou par l'employé.</w:t>
      </w:r>
    </w:p>
    <w:p>
      <w:pPr>
        <w:keepNext/>
        <w:spacing w:before="240" w:after="100"/>
      </w:pPr>
      <w:r>
        <w:rPr>
          <w:rFonts w:ascii="Calibri" w:hAnsi="Calibri"/>
          <w:b/>
          <w:color w:val="2B6CB0"/>
          <w:sz w:val="26"/>
        </w:rPr>
        <w:t>4.9 Système de Traçabilité et Journal d'Audit (Audit Logs)</w:t>
      </w:r>
    </w:p>
    <w:p>
      <w:pPr>
        <w:spacing w:line="276" w:lineRule="auto" w:after="120"/>
        <w:jc w:val="both"/>
      </w:pPr>
      <w:r>
        <w:rPr>
          <w:rFonts w:ascii="Calibri" w:hAnsi="Calibri"/>
          <w:color w:val="2D3748"/>
          <w:sz w:val="20"/>
        </w:rPr>
        <w:t>La traçabilité de l'application est assurée par un composant d'audit centralisé. Chaque opération critique (changement de statut de contrat, mise à jour d'un employé, connexion échouée, génération de clause par l'IA) fait l'objet d'un enregistrement immuable dans la table audit_logs. L'interface d'audit permet au responsable RH de filtrer les événements par utilisateur, par type d'action ou par plage de dates, et d'inspecter les deltas JSON (anciennes vs nouvelles valeurs) pour une transparence totale.</w:t>
      </w:r>
    </w:p>
    <w:p>
      <w:pPr>
        <w:keepNext/>
        <w:spacing w:before="240" w:after="100"/>
      </w:pPr>
      <w:r>
        <w:rPr>
          <w:rFonts w:ascii="Calibri" w:hAnsi="Calibri"/>
          <w:b/>
          <w:color w:val="2B6CB0"/>
          <w:sz w:val="26"/>
        </w:rPr>
        <w:t>4.10 Moteur d'Alertes RH et Notifications Dédupliquées</w:t>
      </w:r>
    </w:p>
    <w:p>
      <w:pPr>
        <w:spacing w:line="276" w:lineRule="auto" w:after="120"/>
        <w:jc w:val="both"/>
      </w:pPr>
      <w:r>
        <w:rPr>
          <w:rFonts w:ascii="Calibri" w:hAnsi="Calibri"/>
          <w:color w:val="2D3748"/>
          <w:sz w:val="20"/>
        </w:rPr>
        <w:t>Le suivi des échéances de contrats CDD est automatisé par un moteur d'arrière-plan analysant quotidiennement les dates de fin de contrat. Des alertes prioritaires sont levées aux paliers cruciaux de 30 jours, 15 jours et 7 jours précédant le terme du contrat.</w:t>
      </w:r>
    </w:p>
    <w:p>
      <w:pPr>
        <w:spacing w:line="276" w:lineRule="auto" w:after="120"/>
        <w:jc w:val="both"/>
      </w:pPr>
      <w:r>
        <w:rPr>
          <w:rFonts w:ascii="Calibri" w:hAnsi="Calibri"/>
          <w:color w:val="2D3748"/>
          <w:sz w:val="20"/>
        </w:rPr>
        <w:t>Pour éliminer tout risque d'inondation de notifications ou d'envois multiples lors d'exécutions concurrentes, le système génère une clé d'idempotence unique (dedup_key) combinant l'identifiant du contrat, le type d'alerte et le palier de jours. L'interface d'alertes regroupe ces notifications avec un code couleur d'urgence (Information, Avertissement, Critique).</w:t>
      </w:r>
    </w:p>
    <w:p>
      <w:pPr>
        <w:keepNext/>
        <w:spacing w:before="240" w:after="100"/>
      </w:pPr>
      <w:r>
        <w:rPr>
          <w:rFonts w:ascii="Calibri" w:hAnsi="Calibri"/>
          <w:b/>
          <w:color w:val="2B6CB0"/>
          <w:sz w:val="26"/>
        </w:rPr>
        <w:t>4.11 Service Transactionnel d'Emails (API Brevo)</w:t>
      </w:r>
    </w:p>
    <w:p>
      <w:pPr>
        <w:spacing w:line="276" w:lineRule="auto" w:after="80"/>
        <w:jc w:val="both"/>
      </w:pPr>
      <w:r>
        <w:rPr>
          <w:rFonts w:ascii="Calibri" w:hAnsi="Calibri"/>
          <w:color w:val="2D3748"/>
          <w:sz w:val="20"/>
        </w:rPr>
        <w:t>L'application est interconnectée avec la plateforme professionnelle Brevo via son API REST transactionnelle. Des emails au format HTML élégant et charté sont automatiquement expédiés :</w:t>
      </w:r>
    </w:p>
    <w:p>
      <w:pPr>
        <w:pStyle w:val="ListBullet"/>
        <w:spacing w:line="276" w:lineRule="auto" w:after="50"/>
        <w:jc w:val="both"/>
      </w:pPr>
      <w:r>
        <w:rPr>
          <w:rFonts w:ascii="Calibri" w:hAnsi="Calibri"/>
          <w:b/>
          <w:color w:val="1B365D"/>
          <w:sz w:val="19"/>
        </w:rPr>
        <w:t xml:space="preserve">Activation du contrat (SIGNE → ACTIF) : </w:t>
      </w:r>
      <w:r>
        <w:rPr>
          <w:rFonts w:ascii="Calibri" w:hAnsi="Calibri"/>
          <w:color w:val="2D3748"/>
          <w:sz w:val="19"/>
        </w:rPr>
        <w:t>Un email est envoyé au collaborateur pour l'informer de la prise d'effet de son contrat et l'inviter à se connecter à son espace.</w:t>
      </w:r>
    </w:p>
    <w:p>
      <w:pPr>
        <w:pStyle w:val="ListBullet"/>
        <w:spacing w:line="276" w:lineRule="auto" w:after="50"/>
        <w:jc w:val="both"/>
      </w:pPr>
      <w:r>
        <w:rPr>
          <w:rFonts w:ascii="Calibri" w:hAnsi="Calibri"/>
          <w:b/>
          <w:color w:val="1B365D"/>
          <w:sz w:val="19"/>
        </w:rPr>
        <w:t xml:space="preserve">Alertes d'échéance CDD : </w:t>
      </w:r>
      <w:r>
        <w:rPr>
          <w:rFonts w:ascii="Calibri" w:hAnsi="Calibri"/>
          <w:color w:val="2D3748"/>
          <w:sz w:val="19"/>
        </w:rPr>
        <w:t>Des alertes par email sont adressées au responsable RH afin d'anticiper le renouvellement ou la clôture administrative du collaborateur.</w:t>
      </w:r>
    </w:p>
    <w:p>
      <w:pPr>
        <w:keepNext/>
        <w:spacing w:before="240" w:after="100"/>
      </w:pPr>
      <w:r>
        <w:rPr>
          <w:rFonts w:ascii="Calibri" w:hAnsi="Calibri"/>
          <w:b/>
          <w:color w:val="2B6CB0"/>
          <w:sz w:val="26"/>
        </w:rPr>
        <w:t>4.12 Espace Dédié Collaborateur (Self-Service)</w:t>
      </w:r>
    </w:p>
    <w:p>
      <w:pPr>
        <w:spacing w:line="276" w:lineRule="auto" w:after="120"/>
        <w:jc w:val="both"/>
      </w:pPr>
      <w:r>
        <w:rPr>
          <w:rFonts w:ascii="Calibri" w:hAnsi="Calibri"/>
          <w:color w:val="2D3748"/>
          <w:sz w:val="20"/>
        </w:rPr>
        <w:t>L'employé bénéficie d'un espace personnel restreint. Dès son authentification, il accède à son tableau de bord affichant ses informations administratives et son contrat en vigueur. L'employé peut consulter les articles composant son engagement et télécharger son contrat officiel au format Word. Les fonctionnalités d'écriture, de modification de statuts ou d'accès aux dossiers des tiers lui sont rigoureusement inaccessibles.</w:t>
      </w:r>
    </w:p>
    <w:p>
      <w:pPr>
        <w:keepNext/>
        <w:spacing w:before="240" w:after="100"/>
      </w:pPr>
      <w:r>
        <w:rPr>
          <w:rFonts w:ascii="Calibri" w:hAnsi="Calibri"/>
          <w:b/>
          <w:color w:val="2B6CB0"/>
          <w:sz w:val="26"/>
        </w:rPr>
        <w:t>4.13 Galerie Commentée des Interfaces Utilisateur</w:t>
      </w:r>
    </w:p>
    <w:p>
      <w:pPr>
        <w:spacing w:line="276" w:lineRule="auto" w:after="120"/>
        <w:jc w:val="both"/>
      </w:pPr>
      <w:r>
        <w:rPr>
          <w:rFonts w:ascii="Calibri" w:hAnsi="Calibri"/>
          <w:color w:val="2D3748"/>
          <w:sz w:val="20"/>
        </w:rPr>
        <w:t>Les figures 7 à 16 ci-après présentent les principales interfaces opérationnelles développées au sein de l'application RH :</w:t>
      </w:r>
    </w:p>
    <w:p>
      <w:pPr>
        <w:keepNext/>
        <w:spacing w:before="120" w:after="40"/>
        <w:jc w:val="center"/>
      </w:pPr>
      <w:r>
        <w:drawing>
          <wp:inline xmlns:a="http://schemas.openxmlformats.org/drawingml/2006/main" xmlns:pic="http://schemas.openxmlformats.org/drawingml/2006/picture">
            <wp:extent cx="4754880" cy="3566160"/>
            <wp:docPr id="8" name="Picture 8"/>
            <wp:cNvGraphicFramePr>
              <a:graphicFrameLocks noChangeAspect="1"/>
            </wp:cNvGraphicFramePr>
            <a:graphic>
              <a:graphicData uri="http://schemas.openxmlformats.org/drawingml/2006/picture">
                <pic:pic>
                  <pic:nvPicPr>
                    <pic:cNvPr id="0" name="screen_login.png"/>
                    <pic:cNvPicPr/>
                  </pic:nvPicPr>
                  <pic:blipFill>
                    <a:blip r:embed="rId18"/>
                    <a:stretch>
                      <a:fillRect/>
                    </a:stretch>
                  </pic:blipFill>
                  <pic:spPr>
                    <a:xfrm>
                      <a:off x="0" y="0"/>
                      <a:ext cx="4754880" cy="3566160"/>
                    </a:xfrm>
                    <a:prstGeom prst="rect"/>
                  </pic:spPr>
                </pic:pic>
              </a:graphicData>
            </a:graphic>
          </wp:inline>
        </w:drawing>
      </w:r>
    </w:p>
    <w:p>
      <w:pPr>
        <w:spacing w:before="0" w:after="140"/>
        <w:jc w:val="center"/>
      </w:pPr>
      <w:r>
        <w:rPr>
          <w:rFonts w:ascii="Calibri" w:hAnsi="Calibri"/>
          <w:b/>
          <w:color w:val="1B365D"/>
          <w:sz w:val="17"/>
        </w:rPr>
        <w:t xml:space="preserve">Figure 7 — </w:t>
      </w:r>
      <w:r>
        <w:rPr>
          <w:rFonts w:ascii="Calibri" w:hAnsi="Calibri"/>
          <w:i/>
          <w:color w:val="718096"/>
          <w:sz w:val="17"/>
        </w:rPr>
        <w:t>Interface de Connexion Sécurisée (Authentification JWT &amp; Protection Lockout)</w:t>
      </w:r>
    </w:p>
    <w:p>
      <w:pPr>
        <w:keepNext/>
        <w:spacing w:before="120" w:after="40"/>
        <w:jc w:val="center"/>
      </w:pPr>
      <w:r>
        <w:drawing>
          <wp:inline xmlns:a="http://schemas.openxmlformats.org/drawingml/2006/main" xmlns:pic="http://schemas.openxmlformats.org/drawingml/2006/picture">
            <wp:extent cx="5029200" cy="2661940"/>
            <wp:docPr id="9" name="Picture 9"/>
            <wp:cNvGraphicFramePr>
              <a:graphicFrameLocks noChangeAspect="1"/>
            </wp:cNvGraphicFramePr>
            <a:graphic>
              <a:graphicData uri="http://schemas.openxmlformats.org/drawingml/2006/picture">
                <pic:pic>
                  <pic:nvPicPr>
                    <pic:cNvPr id="0" name="screen_dashboard.png"/>
                    <pic:cNvPicPr/>
                  </pic:nvPicPr>
                  <pic:blipFill>
                    <a:blip r:embed="rId19"/>
                    <a:stretch>
                      <a:fillRect/>
                    </a:stretch>
                  </pic:blipFill>
                  <pic:spPr>
                    <a:xfrm>
                      <a:off x="0" y="0"/>
                      <a:ext cx="5029200" cy="2661940"/>
                    </a:xfrm>
                    <a:prstGeom prst="rect"/>
                  </pic:spPr>
                </pic:pic>
              </a:graphicData>
            </a:graphic>
          </wp:inline>
        </w:drawing>
      </w:r>
    </w:p>
    <w:p>
      <w:pPr>
        <w:spacing w:before="0" w:after="140"/>
        <w:jc w:val="center"/>
      </w:pPr>
      <w:r>
        <w:rPr>
          <w:rFonts w:ascii="Calibri" w:hAnsi="Calibri"/>
          <w:b/>
          <w:color w:val="1B365D"/>
          <w:sz w:val="17"/>
        </w:rPr>
        <w:t xml:space="preserve">Figure 8 — </w:t>
      </w:r>
      <w:r>
        <w:rPr>
          <w:rFonts w:ascii="Calibri" w:hAnsi="Calibri"/>
          <w:i/>
          <w:color w:val="718096"/>
          <w:sz w:val="17"/>
        </w:rPr>
        <w:t>Tableau de Bord &amp; Gestion Administrative des Collaborateurs</w:t>
      </w:r>
    </w:p>
    <w:p>
      <w:pPr>
        <w:keepNext/>
        <w:spacing w:before="120" w:after="40"/>
        <w:jc w:val="center"/>
      </w:pPr>
      <w:r>
        <w:drawing>
          <wp:inline xmlns:a="http://schemas.openxmlformats.org/drawingml/2006/main" xmlns:pic="http://schemas.openxmlformats.org/drawingml/2006/picture">
            <wp:extent cx="5029200" cy="2388870"/>
            <wp:docPr id="10" name="Picture 10"/>
            <wp:cNvGraphicFramePr>
              <a:graphicFrameLocks noChangeAspect="1"/>
            </wp:cNvGraphicFramePr>
            <a:graphic>
              <a:graphicData uri="http://schemas.openxmlformats.org/drawingml/2006/picture">
                <pic:pic>
                  <pic:nvPicPr>
                    <pic:cNvPr id="0" name="screen_articles.png"/>
                    <pic:cNvPicPr/>
                  </pic:nvPicPr>
                  <pic:blipFill>
                    <a:blip r:embed="rId20"/>
                    <a:stretch>
                      <a:fillRect/>
                    </a:stretch>
                  </pic:blipFill>
                  <pic:spPr>
                    <a:xfrm>
                      <a:off x="0" y="0"/>
                      <a:ext cx="5029200" cy="2388870"/>
                    </a:xfrm>
                    <a:prstGeom prst="rect"/>
                  </pic:spPr>
                </pic:pic>
              </a:graphicData>
            </a:graphic>
          </wp:inline>
        </w:drawing>
      </w:r>
    </w:p>
    <w:p>
      <w:pPr>
        <w:spacing w:before="0" w:after="140"/>
        <w:jc w:val="center"/>
      </w:pPr>
      <w:r>
        <w:rPr>
          <w:rFonts w:ascii="Calibri" w:hAnsi="Calibri"/>
          <w:b/>
          <w:color w:val="1B365D"/>
          <w:sz w:val="17"/>
        </w:rPr>
        <w:t xml:space="preserve">Figure 9 — </w:t>
      </w:r>
      <w:r>
        <w:rPr>
          <w:rFonts w:ascii="Calibri" w:hAnsi="Calibri"/>
          <w:i/>
          <w:color w:val="718096"/>
          <w:sz w:val="17"/>
        </w:rPr>
        <w:t>Bibliothèque des Articles Contractuels Réutilisables avec Badges de Structure</w:t>
      </w:r>
    </w:p>
    <w:p>
      <w:pPr>
        <w:keepNext/>
        <w:spacing w:before="120" w:after="40"/>
        <w:jc w:val="center"/>
      </w:pPr>
      <w:r>
        <w:drawing>
          <wp:inline xmlns:a="http://schemas.openxmlformats.org/drawingml/2006/main" xmlns:pic="http://schemas.openxmlformats.org/drawingml/2006/picture">
            <wp:extent cx="5029200" cy="2388870"/>
            <wp:docPr id="11" name="Picture 11"/>
            <wp:cNvGraphicFramePr>
              <a:graphicFrameLocks noChangeAspect="1"/>
            </wp:cNvGraphicFramePr>
            <a:graphic>
              <a:graphicData uri="http://schemas.openxmlformats.org/drawingml/2006/picture">
                <pic:pic>
                  <pic:nvPicPr>
                    <pic:cNvPr id="0" name="screen_article_editor.png"/>
                    <pic:cNvPicPr/>
                  </pic:nvPicPr>
                  <pic:blipFill>
                    <a:blip r:embed="rId21"/>
                    <a:stretch>
                      <a:fillRect/>
                    </a:stretch>
                  </pic:blipFill>
                  <pic:spPr>
                    <a:xfrm>
                      <a:off x="0" y="0"/>
                      <a:ext cx="5029200" cy="2388870"/>
                    </a:xfrm>
                    <a:prstGeom prst="rect"/>
                  </pic:spPr>
                </pic:pic>
              </a:graphicData>
            </a:graphic>
          </wp:inline>
        </w:drawing>
      </w:r>
    </w:p>
    <w:p>
      <w:pPr>
        <w:spacing w:before="0" w:after="140"/>
        <w:jc w:val="center"/>
      </w:pPr>
      <w:r>
        <w:rPr>
          <w:rFonts w:ascii="Calibri" w:hAnsi="Calibri"/>
          <w:b/>
          <w:color w:val="1B365D"/>
          <w:sz w:val="17"/>
        </w:rPr>
        <w:t xml:space="preserve">Figure 10 — </w:t>
      </w:r>
      <w:r>
        <w:rPr>
          <w:rFonts w:ascii="Calibri" w:hAnsi="Calibri"/>
          <w:i/>
          <w:color w:val="718096"/>
          <w:sz w:val="17"/>
        </w:rPr>
        <w:t>Modale d'Édition et de Création d'un Nouvel Article Contractuel</w:t>
      </w:r>
    </w:p>
    <w:p>
      <w:pPr>
        <w:keepNext/>
        <w:spacing w:before="120" w:after="40"/>
        <w:jc w:val="center"/>
      </w:pPr>
      <w:r>
        <w:drawing>
          <wp:inline xmlns:a="http://schemas.openxmlformats.org/drawingml/2006/main" xmlns:pic="http://schemas.openxmlformats.org/drawingml/2006/picture">
            <wp:extent cx="5029200" cy="2388870"/>
            <wp:docPr id="12" name="Picture 12"/>
            <wp:cNvGraphicFramePr>
              <a:graphicFrameLocks noChangeAspect="1"/>
            </wp:cNvGraphicFramePr>
            <a:graphic>
              <a:graphicData uri="http://schemas.openxmlformats.org/drawingml/2006/picture">
                <pic:pic>
                  <pic:nvPicPr>
                    <pic:cNvPr id="0" name="screen_ai_modal.png"/>
                    <pic:cNvPicPr/>
                  </pic:nvPicPr>
                  <pic:blipFill>
                    <a:blip r:embed="rId22"/>
                    <a:stretch>
                      <a:fillRect/>
                    </a:stretch>
                  </pic:blipFill>
                  <pic:spPr>
                    <a:xfrm>
                      <a:off x="0" y="0"/>
                      <a:ext cx="5029200" cy="2388870"/>
                    </a:xfrm>
                    <a:prstGeom prst="rect"/>
                  </pic:spPr>
                </pic:pic>
              </a:graphicData>
            </a:graphic>
          </wp:inline>
        </w:drawing>
      </w:r>
    </w:p>
    <w:p>
      <w:pPr>
        <w:spacing w:before="0" w:after="140"/>
        <w:jc w:val="center"/>
      </w:pPr>
      <w:r>
        <w:rPr>
          <w:rFonts w:ascii="Calibri" w:hAnsi="Calibri"/>
          <w:b/>
          <w:color w:val="1B365D"/>
          <w:sz w:val="17"/>
        </w:rPr>
        <w:t xml:space="preserve">Figure 11 — </w:t>
      </w:r>
      <w:r>
        <w:rPr>
          <w:rFonts w:ascii="Calibri" w:hAnsi="Calibri"/>
          <w:i/>
          <w:color w:val="718096"/>
          <w:sz w:val="17"/>
        </w:rPr>
        <w:t>Assistant IA : Saisie du Prompt et Paramétrage de la Clause</w:t>
      </w:r>
    </w:p>
    <w:p>
      <w:pPr>
        <w:keepNext/>
        <w:spacing w:before="120" w:after="40"/>
        <w:jc w:val="center"/>
      </w:pPr>
      <w:r>
        <w:drawing>
          <wp:inline xmlns:a="http://schemas.openxmlformats.org/drawingml/2006/main" xmlns:pic="http://schemas.openxmlformats.org/drawingml/2006/picture">
            <wp:extent cx="5029200" cy="2388870"/>
            <wp:docPr id="13" name="Picture 13"/>
            <wp:cNvGraphicFramePr>
              <a:graphicFrameLocks noChangeAspect="1"/>
            </wp:cNvGraphicFramePr>
            <a:graphic>
              <a:graphicData uri="http://schemas.openxmlformats.org/drawingml/2006/picture">
                <pic:pic>
                  <pic:nvPicPr>
                    <pic:cNvPr id="0" name="screen_ai_structured.png"/>
                    <pic:cNvPicPr/>
                  </pic:nvPicPr>
                  <pic:blipFill>
                    <a:blip r:embed="rId23"/>
                    <a:stretch>
                      <a:fillRect/>
                    </a:stretch>
                  </pic:blipFill>
                  <pic:spPr>
                    <a:xfrm>
                      <a:off x="0" y="0"/>
                      <a:ext cx="5029200" cy="2388870"/>
                    </a:xfrm>
                    <a:prstGeom prst="rect"/>
                  </pic:spPr>
                </pic:pic>
              </a:graphicData>
            </a:graphic>
          </wp:inline>
        </w:drawing>
      </w:r>
    </w:p>
    <w:p>
      <w:pPr>
        <w:spacing w:before="0" w:after="140"/>
        <w:jc w:val="center"/>
      </w:pPr>
      <w:r>
        <w:rPr>
          <w:rFonts w:ascii="Calibri" w:hAnsi="Calibri"/>
          <w:b/>
          <w:color w:val="1B365D"/>
          <w:sz w:val="17"/>
        </w:rPr>
        <w:t xml:space="preserve">Figure 12 — </w:t>
      </w:r>
      <w:r>
        <w:rPr>
          <w:rFonts w:ascii="Calibri" w:hAnsi="Calibri"/>
          <w:i/>
          <w:color w:val="718096"/>
          <w:sz w:val="17"/>
        </w:rPr>
        <w:t>Assistant IA : Rendu Structuré avec Grille de Rémunération en Tableau</w:t>
      </w:r>
    </w:p>
    <w:p>
      <w:pPr>
        <w:keepNext/>
        <w:spacing w:before="120" w:after="40"/>
        <w:jc w:val="center"/>
      </w:pPr>
      <w:r>
        <w:drawing>
          <wp:inline xmlns:a="http://schemas.openxmlformats.org/drawingml/2006/main" xmlns:pic="http://schemas.openxmlformats.org/drawingml/2006/picture">
            <wp:extent cx="5029200" cy="2470398"/>
            <wp:docPr id="14" name="Picture 14"/>
            <wp:cNvGraphicFramePr>
              <a:graphicFrameLocks noChangeAspect="1"/>
            </wp:cNvGraphicFramePr>
            <a:graphic>
              <a:graphicData uri="http://schemas.openxmlformats.org/drawingml/2006/picture">
                <pic:pic>
                  <pic:nvPicPr>
                    <pic:cNvPr id="0" name="screen_contrats.png"/>
                    <pic:cNvPicPr/>
                  </pic:nvPicPr>
                  <pic:blipFill>
                    <a:blip r:embed="rId24"/>
                    <a:stretch>
                      <a:fillRect/>
                    </a:stretch>
                  </pic:blipFill>
                  <pic:spPr>
                    <a:xfrm>
                      <a:off x="0" y="0"/>
                      <a:ext cx="5029200" cy="2470398"/>
                    </a:xfrm>
                    <a:prstGeom prst="rect"/>
                  </pic:spPr>
                </pic:pic>
              </a:graphicData>
            </a:graphic>
          </wp:inline>
        </w:drawing>
      </w:r>
    </w:p>
    <w:p>
      <w:pPr>
        <w:spacing w:before="0" w:after="140"/>
        <w:jc w:val="center"/>
      </w:pPr>
      <w:r>
        <w:rPr>
          <w:rFonts w:ascii="Calibri" w:hAnsi="Calibri"/>
          <w:b/>
          <w:color w:val="1B365D"/>
          <w:sz w:val="17"/>
        </w:rPr>
        <w:t xml:space="preserve">Figure 13 — </w:t>
      </w:r>
      <w:r>
        <w:rPr>
          <w:rFonts w:ascii="Calibri" w:hAnsi="Calibri"/>
          <w:i/>
          <w:color w:val="718096"/>
          <w:sz w:val="17"/>
        </w:rPr>
        <w:t>Gestion des Contrats de Travail avec Nouveaux Badges de Statuts et Actions</w:t>
      </w:r>
    </w:p>
    <w:p>
      <w:pPr>
        <w:keepNext/>
        <w:spacing w:before="120" w:after="40"/>
        <w:jc w:val="center"/>
      </w:pPr>
      <w:r>
        <w:drawing>
          <wp:inline xmlns:a="http://schemas.openxmlformats.org/drawingml/2006/main" xmlns:pic="http://schemas.openxmlformats.org/drawingml/2006/picture">
            <wp:extent cx="5029200" cy="2598093"/>
            <wp:docPr id="15" name="Picture 15"/>
            <wp:cNvGraphicFramePr>
              <a:graphicFrameLocks noChangeAspect="1"/>
            </wp:cNvGraphicFramePr>
            <a:graphic>
              <a:graphicData uri="http://schemas.openxmlformats.org/drawingml/2006/picture">
                <pic:pic>
                  <pic:nvPicPr>
                    <pic:cNvPr id="0" name="screen_alertes.png"/>
                    <pic:cNvPicPr/>
                  </pic:nvPicPr>
                  <pic:blipFill>
                    <a:blip r:embed="rId25"/>
                    <a:stretch>
                      <a:fillRect/>
                    </a:stretch>
                  </pic:blipFill>
                  <pic:spPr>
                    <a:xfrm>
                      <a:off x="0" y="0"/>
                      <a:ext cx="5029200" cy="2598093"/>
                    </a:xfrm>
                    <a:prstGeom prst="rect"/>
                  </pic:spPr>
                </pic:pic>
              </a:graphicData>
            </a:graphic>
          </wp:inline>
        </w:drawing>
      </w:r>
    </w:p>
    <w:p>
      <w:pPr>
        <w:spacing w:before="0" w:after="140"/>
        <w:jc w:val="center"/>
      </w:pPr>
      <w:r>
        <w:rPr>
          <w:rFonts w:ascii="Calibri" w:hAnsi="Calibri"/>
          <w:b/>
          <w:color w:val="1B365D"/>
          <w:sz w:val="17"/>
        </w:rPr>
        <w:t xml:space="preserve">Figure 14 — </w:t>
      </w:r>
      <w:r>
        <w:rPr>
          <w:rFonts w:ascii="Calibri" w:hAnsi="Calibri"/>
          <w:i/>
          <w:color w:val="718096"/>
          <w:sz w:val="17"/>
        </w:rPr>
        <w:t>Centre de Suivi des Alertes d'Expiration et Notifications RH Dédupliquées</w:t>
      </w:r>
    </w:p>
    <w:p>
      <w:pPr>
        <w:keepNext/>
        <w:spacing w:before="120" w:after="40"/>
        <w:jc w:val="center"/>
      </w:pPr>
      <w:r>
        <w:drawing>
          <wp:inline xmlns:a="http://schemas.openxmlformats.org/drawingml/2006/main" xmlns:pic="http://schemas.openxmlformats.org/drawingml/2006/picture">
            <wp:extent cx="4754880" cy="4971732"/>
            <wp:docPr id="16" name="Picture 16"/>
            <wp:cNvGraphicFramePr>
              <a:graphicFrameLocks noChangeAspect="1"/>
            </wp:cNvGraphicFramePr>
            <a:graphic>
              <a:graphicData uri="http://schemas.openxmlformats.org/drawingml/2006/picture">
                <pic:pic>
                  <pic:nvPicPr>
                    <pic:cNvPr id="0" name="screen_audit.png"/>
                    <pic:cNvPicPr/>
                  </pic:nvPicPr>
                  <pic:blipFill>
                    <a:blip r:embed="rId26"/>
                    <a:stretch>
                      <a:fillRect/>
                    </a:stretch>
                  </pic:blipFill>
                  <pic:spPr>
                    <a:xfrm>
                      <a:off x="0" y="0"/>
                      <a:ext cx="4754880" cy="4971732"/>
                    </a:xfrm>
                    <a:prstGeom prst="rect"/>
                  </pic:spPr>
                </pic:pic>
              </a:graphicData>
            </a:graphic>
          </wp:inline>
        </w:drawing>
      </w:r>
    </w:p>
    <w:p>
      <w:pPr>
        <w:spacing w:before="0" w:after="140"/>
        <w:jc w:val="center"/>
      </w:pPr>
      <w:r>
        <w:rPr>
          <w:rFonts w:ascii="Calibri" w:hAnsi="Calibri"/>
          <w:b/>
          <w:color w:val="1B365D"/>
          <w:sz w:val="17"/>
        </w:rPr>
        <w:t xml:space="preserve">Figure 15 — </w:t>
      </w:r>
      <w:r>
        <w:rPr>
          <w:rFonts w:ascii="Calibri" w:hAnsi="Calibri"/>
          <w:i/>
          <w:color w:val="718096"/>
          <w:sz w:val="17"/>
        </w:rPr>
        <w:t>Journal d'Audit Centralisé (Traçabilité des Actions et Deltas JSONB)</w:t>
      </w:r>
    </w:p>
    <w:p>
      <w:pPr>
        <w:keepNext/>
        <w:spacing w:before="120" w:after="40"/>
        <w:jc w:val="center"/>
      </w:pPr>
      <w:r>
        <w:drawing>
          <wp:inline xmlns:a="http://schemas.openxmlformats.org/drawingml/2006/main" xmlns:pic="http://schemas.openxmlformats.org/drawingml/2006/picture">
            <wp:extent cx="5029200" cy="2455664"/>
            <wp:docPr id="17" name="Picture 17"/>
            <wp:cNvGraphicFramePr>
              <a:graphicFrameLocks noChangeAspect="1"/>
            </wp:cNvGraphicFramePr>
            <a:graphic>
              <a:graphicData uri="http://schemas.openxmlformats.org/drawingml/2006/picture">
                <pic:pic>
                  <pic:nvPicPr>
                    <pic:cNvPr id="0" name="screen_espace_employe.png"/>
                    <pic:cNvPicPr/>
                  </pic:nvPicPr>
                  <pic:blipFill>
                    <a:blip r:embed="rId27"/>
                    <a:stretch>
                      <a:fillRect/>
                    </a:stretch>
                  </pic:blipFill>
                  <pic:spPr>
                    <a:xfrm>
                      <a:off x="0" y="0"/>
                      <a:ext cx="5029200" cy="2455664"/>
                    </a:xfrm>
                    <a:prstGeom prst="rect"/>
                  </pic:spPr>
                </pic:pic>
              </a:graphicData>
            </a:graphic>
          </wp:inline>
        </w:drawing>
      </w:r>
    </w:p>
    <w:p>
      <w:pPr>
        <w:spacing w:before="0" w:after="140"/>
        <w:jc w:val="center"/>
      </w:pPr>
      <w:r>
        <w:rPr>
          <w:rFonts w:ascii="Calibri" w:hAnsi="Calibri"/>
          <w:b/>
          <w:color w:val="1B365D"/>
          <w:sz w:val="17"/>
        </w:rPr>
        <w:t xml:space="preserve">Figure 16 — </w:t>
      </w:r>
      <w:r>
        <w:rPr>
          <w:rFonts w:ascii="Calibri" w:hAnsi="Calibri"/>
          <w:i/>
          <w:color w:val="718096"/>
          <w:sz w:val="17"/>
        </w:rPr>
        <w:t>Espace Dédié Collaborateur (Consultation en Lecture Seule du Contrat Actif)</w:t>
      </w:r>
    </w:p>
    <w:p>
      <w:pPr>
        <w:keepNext/>
        <w:spacing w:before="240" w:after="100"/>
      </w:pPr>
      <w:r>
        <w:rPr>
          <w:rFonts w:ascii="Calibri" w:hAnsi="Calibri"/>
          <w:b/>
          <w:color w:val="2B6CB0"/>
          <w:sz w:val="26"/>
        </w:rPr>
        <w:t>4.14 Conclusion du Chapitre</w:t>
      </w:r>
    </w:p>
    <w:p>
      <w:pPr>
        <w:spacing w:line="276" w:lineRule="auto" w:after="200"/>
        <w:jc w:val="both"/>
      </w:pPr>
      <w:r>
        <w:rPr>
          <w:rFonts w:ascii="Calibri" w:hAnsi="Calibri"/>
          <w:color w:val="2D3748"/>
          <w:sz w:val="20"/>
        </w:rPr>
        <w:t>La réalisation technique de l'application web RH concrétise fidèlement l'ensemble des spécifications fonctionnelles, tout en intégrant des innovations à forte valeur ajoutée telles que l'Assistant IA pour la rédaction de clauses et un cycle de vie contractuel hautement sécurisé. Le chapitre suivant présente la démarche de validation, la suite de tests et les résultats obtenus.</w:t>
      </w:r>
    </w:p>
    <w:p>
      <w:r>
        <w:br w:type="page"/>
      </w:r>
    </w:p>
    <w:p>
      <w:pPr>
        <w:keepNext/>
        <w:spacing w:before="320" w:after="160"/>
      </w:pPr>
      <w:r>
        <w:rPr>
          <w:rFonts w:ascii="Calibri" w:hAnsi="Calibri"/>
          <w:b/>
          <w:color w:val="1B365D"/>
          <w:sz w:val="32"/>
        </w:rPr>
        <w:t>CHAPITRE 5 : TESTS, VALIDATION ET ASSURANCE QUALITÉ</w:t>
      </w:r>
    </w:p>
    <w:p>
      <w:pPr>
        <w:keepNext/>
        <w:spacing w:before="240" w:after="100"/>
      </w:pPr>
      <w:r>
        <w:rPr>
          <w:rFonts w:ascii="Calibri" w:hAnsi="Calibri"/>
          <w:b/>
          <w:color w:val="2B6CB0"/>
          <w:sz w:val="26"/>
        </w:rPr>
        <w:t>5.1 Introduction</w:t>
      </w:r>
    </w:p>
    <w:p>
      <w:pPr>
        <w:spacing w:line="276" w:lineRule="auto" w:after="160"/>
        <w:jc w:val="both"/>
      </w:pPr>
      <w:r>
        <w:rPr>
          <w:rFonts w:ascii="Calibri" w:hAnsi="Calibri"/>
          <w:color w:val="2D3748"/>
          <w:sz w:val="20"/>
        </w:rPr>
        <w:t>La phase de vérification et de validation constitue une étape déterminante du cycle de vie logiciel. Elle vise à attester de la conformité rigoureuse du système développé vis-à-vis des exigences fonctionnelles et des critères de sécurité formulés lors de la spécification. Ce chapitre expose la stratégie globale de test, détaille les résultats de la campagne d'essais automatisés backend (78 tests réussis avec 100% de succès), analyse la résilience de la sécurité et présente les difficultés techniques surmontées durant l'implémentation.</w:t>
      </w:r>
    </w:p>
    <w:p>
      <w:pPr>
        <w:keepNext/>
        <w:spacing w:before="240" w:after="100"/>
      </w:pPr>
      <w:r>
        <w:rPr>
          <w:rFonts w:ascii="Calibri" w:hAnsi="Calibri"/>
          <w:b/>
          <w:color w:val="2B6CB0"/>
          <w:sz w:val="26"/>
        </w:rPr>
        <w:t>5.2 Stratégie Globale de Test</w:t>
      </w:r>
    </w:p>
    <w:p>
      <w:pPr>
        <w:spacing w:line="276" w:lineRule="auto" w:after="80"/>
        <w:jc w:val="both"/>
      </w:pPr>
      <w:r>
        <w:rPr>
          <w:rFonts w:ascii="Calibri" w:hAnsi="Calibri"/>
          <w:color w:val="2D3748"/>
          <w:sz w:val="20"/>
        </w:rPr>
        <w:t>Afin d'assurer une couverture exhaustive et d'éliminer tout risque de régression lors de l'évolution des fonctionnalités (notamment lors de l'intégration des nouveaux statuts de contrat et du format structuré de l'IA), nous avons adopté une stratégie pyramidale combinant :</w:t>
      </w:r>
    </w:p>
    <w:p>
      <w:pPr>
        <w:pStyle w:val="ListBullet"/>
        <w:spacing w:line="276" w:lineRule="auto" w:after="50"/>
        <w:jc w:val="both"/>
      </w:pPr>
      <w:r>
        <w:rPr>
          <w:rFonts w:ascii="Calibri" w:hAnsi="Calibri"/>
          <w:b/>
          <w:color w:val="1B365D"/>
          <w:sz w:val="19"/>
        </w:rPr>
        <w:t xml:space="preserve">Tests Unitaires : </w:t>
      </w:r>
      <w:r>
        <w:rPr>
          <w:rFonts w:ascii="Calibri" w:hAnsi="Calibri"/>
          <w:color w:val="2D3748"/>
          <w:sz w:val="19"/>
        </w:rPr>
        <w:t>Validation unitaire isolée des fonctions critiques (validation des schémas Pydantic, algorithmes de hachage, parsing JSON de l'IA et génération native DOCX).</w:t>
      </w:r>
    </w:p>
    <w:p>
      <w:pPr>
        <w:pStyle w:val="ListBullet"/>
        <w:spacing w:line="276" w:lineRule="auto" w:after="50"/>
        <w:jc w:val="both"/>
      </w:pPr>
      <w:r>
        <w:rPr>
          <w:rFonts w:ascii="Calibri" w:hAnsi="Calibri"/>
          <w:b/>
          <w:color w:val="1B365D"/>
          <w:sz w:val="19"/>
        </w:rPr>
        <w:t xml:space="preserve">Tests d'Intégration : </w:t>
      </w:r>
      <w:r>
        <w:rPr>
          <w:rFonts w:ascii="Calibri" w:hAnsi="Calibri"/>
          <w:color w:val="2D3748"/>
          <w:sz w:val="19"/>
        </w:rPr>
        <w:t>Vérification de l'interconnexion entre les composants logiciels (routeurs d'API, requêtes SQLAlchemy en base de données, déduplication des alertes, services externes).</w:t>
      </w:r>
    </w:p>
    <w:p>
      <w:pPr>
        <w:pStyle w:val="ListBullet"/>
        <w:spacing w:line="276" w:lineRule="auto" w:after="50"/>
        <w:jc w:val="both"/>
      </w:pPr>
      <w:r>
        <w:rPr>
          <w:rFonts w:ascii="Calibri" w:hAnsi="Calibri"/>
          <w:b/>
          <w:color w:val="1B365D"/>
          <w:sz w:val="19"/>
        </w:rPr>
        <w:t xml:space="preserve">Tests de Sécurité : </w:t>
      </w:r>
      <w:r>
        <w:rPr>
          <w:rFonts w:ascii="Calibri" w:hAnsi="Calibri"/>
          <w:color w:val="2D3748"/>
          <w:sz w:val="19"/>
        </w:rPr>
        <w:t>Contrôle strict des accès non autorisés, simulation d'attaques par force brute, validation de la révocation des tokens et étanchéité de l'espace collaborateur.</w:t>
      </w:r>
    </w:p>
    <w:p>
      <w:pPr>
        <w:keepNext/>
        <w:spacing w:before="240" w:after="100"/>
      </w:pPr>
      <w:r>
        <w:rPr>
          <w:rFonts w:ascii="Calibri" w:hAnsi="Calibri"/>
          <w:b/>
          <w:color w:val="2B6CB0"/>
          <w:sz w:val="26"/>
        </w:rPr>
        <w:t>5.3 Tests Backend Automatisés (Pytest / Unittest - 78 tests)</w:t>
      </w:r>
    </w:p>
    <w:p>
      <w:pPr>
        <w:spacing w:line="276" w:lineRule="auto" w:after="120"/>
        <w:jc w:val="both"/>
      </w:pPr>
      <w:r>
        <w:rPr>
          <w:rFonts w:ascii="Calibri" w:hAnsi="Calibri"/>
          <w:color w:val="2D3748"/>
          <w:sz w:val="20"/>
        </w:rPr>
        <w:t>Le backend dispose d'une suite complète de tests automatisés exécutés via le framework Pytest. La campagne de tests exécutée dans l'environnement de développement produit un taux de réussite parfait de 100% sur l'ensemble des 78 cas de test (Tableau 6) :</w:t>
      </w:r>
    </w:p>
    <w:tbl>
      <w:tblPr>
        <w:tblW w:type="auto" w:w="0"/>
        <w:jc w:val="center"/>
        <w:tblLayout w:type="fixed"/>
        <w:tblLook w:firstColumn="1" w:firstRow="1" w:lastColumn="0" w:lastRow="0" w:noHBand="0" w:noVBand="1" w:val="04A0"/>
      </w:tblPr>
      <w:tblGrid>
        <w:gridCol w:w="2293"/>
        <w:gridCol w:w="2293"/>
        <w:gridCol w:w="2293"/>
        <w:gridCol w:w="2293"/>
      </w:tblGrid>
      <w:tr>
        <w:tc>
          <w:tcPr>
            <w:tcW w:type="dxa" w:w="259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Fichier de Test</w:t>
            </w:r>
          </w:p>
        </w:tc>
        <w:tc>
          <w:tcPr>
            <w:tcW w:type="dxa" w:w="100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Succès</w:t>
            </w:r>
          </w:p>
        </w:tc>
        <w:tc>
          <w:tcPr>
            <w:tcW w:type="dxa" w:w="864"/>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Taux</w:t>
            </w:r>
          </w:p>
        </w:tc>
        <w:tc>
          <w:tcPr>
            <w:tcW w:type="dxa" w:w="489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Périmètre Fonctionnel &amp; Technique Validé</w:t>
            </w:r>
          </w:p>
        </w:tc>
      </w:tr>
      <w:tr>
        <w:tc>
          <w:tcPr>
            <w:tcW w:type="dxa" w:w="259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test_ai_service.py</w:t>
            </w:r>
          </w:p>
        </w:tc>
        <w:tc>
          <w:tcPr>
            <w:tcW w:type="dxa" w:w="100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11 / 11</w:t>
            </w:r>
          </w:p>
        </w:tc>
        <w:tc>
          <w:tcPr>
            <w:tcW w:type="dxa" w:w="86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Validation du service IA Gemini, support des clauses structurées (paragraphes, tableaux, mixte), fallback transparent et génération de tableau Word natif.</w:t>
            </w:r>
          </w:p>
        </w:tc>
      </w:tr>
      <w:tr>
        <w:tc>
          <w:tcPr>
            <w:tcW w:type="dxa" w:w="259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test_auth_hardening.py</w:t>
            </w:r>
          </w:p>
        </w:tc>
        <w:tc>
          <w:tcPr>
            <w:tcW w:type="dxa" w:w="100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 / 16</w:t>
            </w:r>
          </w:p>
        </w:tc>
        <w:tc>
          <w:tcPr>
            <w:tcW w:type="dxa" w:w="86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Validation de la politique anti-brute force, verrouillage temporaire après 5 échecs, renouvellement sécurisé par refresh tokens et contrôle RBAC.</w:t>
            </w:r>
          </w:p>
        </w:tc>
      </w:tr>
      <w:tr>
        <w:tc>
          <w:tcPr>
            <w:tcW w:type="dxa" w:w="259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test_contract_status_transitions.py</w:t>
            </w:r>
          </w:p>
        </w:tc>
        <w:tc>
          <w:tcPr>
            <w:tcW w:type="dxa" w:w="100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16 / 16</w:t>
            </w:r>
          </w:p>
        </w:tc>
        <w:tc>
          <w:tcPr>
            <w:tcW w:type="dxa" w:w="86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Validation de la machine à états des contrats : parcours Brouillon → Communiqué → Signé → Actif, fin CDD, démission CDI et rejet des transitions illégales.</w:t>
            </w:r>
          </w:p>
        </w:tc>
      </w:tr>
      <w:tr>
        <w:tc>
          <w:tcPr>
            <w:tcW w:type="dxa" w:w="259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test_direct_access_email.py</w:t>
            </w:r>
          </w:p>
        </w:tc>
        <w:tc>
          <w:tcPr>
            <w:tcW w:type="dxa" w:w="100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7 / 7</w:t>
            </w:r>
          </w:p>
        </w:tc>
        <w:tc>
          <w:tcPr>
            <w:tcW w:type="dxa" w:w="86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Contrôle des liens de consultation directe reçus par email et redirection contextuelle selon la session connectée.</w:t>
            </w:r>
          </w:p>
        </w:tc>
      </w:tr>
      <w:tr>
        <w:tc>
          <w:tcPr>
            <w:tcW w:type="dxa" w:w="259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test_employee_alerts.py</w:t>
            </w:r>
          </w:p>
        </w:tc>
        <w:tc>
          <w:tcPr>
            <w:tcW w:type="dxa" w:w="100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 / 10</w:t>
            </w:r>
          </w:p>
        </w:tc>
        <w:tc>
          <w:tcPr>
            <w:tcW w:type="dxa" w:w="86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Vérification des calculs d'échéance à 30, 15 et 7 jours, exclusion des CDI sans terme et garantie d'unicité (clé dedup_key).</w:t>
            </w:r>
          </w:p>
        </w:tc>
      </w:tr>
      <w:tr>
        <w:tc>
          <w:tcPr>
            <w:tcW w:type="dxa" w:w="259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test_employee_profile_security.py</w:t>
            </w:r>
          </w:p>
        </w:tc>
        <w:tc>
          <w:tcPr>
            <w:tcW w:type="dxa" w:w="100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8 / 8</w:t>
            </w:r>
          </w:p>
        </w:tc>
        <w:tc>
          <w:tcPr>
            <w:tcW w:type="dxa" w:w="864"/>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Étanchéité de l'espace collaborateur : lecture seule garantie, impossibilité d'altérer les statuts ou de consulter les données d'autres salariés.</w:t>
            </w:r>
          </w:p>
        </w:tc>
      </w:tr>
      <w:tr>
        <w:tc>
          <w:tcPr>
            <w:tcW w:type="dxa" w:w="259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test_recaptcha_login.py</w:t>
            </w:r>
          </w:p>
        </w:tc>
        <w:tc>
          <w:tcPr>
            <w:tcW w:type="dxa" w:w="100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 / 10</w:t>
            </w:r>
          </w:p>
        </w:tc>
        <w:tc>
          <w:tcPr>
            <w:tcW w:type="dxa" w:w="864"/>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48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Validation des contrôles anti-robots reCAPTCHA et résistance des formulaires d'authentification.</w:t>
            </w:r>
          </w:p>
        </w:tc>
      </w:tr>
    </w:tbl>
    <w:p>
      <w:pPr>
        <w:spacing w:after="100"/>
      </w:pPr>
    </w:p>
    <w:p>
      <w:pPr>
        <w:keepNext/>
        <w:spacing w:before="240" w:after="100"/>
      </w:pPr>
      <w:r>
        <w:rPr>
          <w:rFonts w:ascii="Calibri" w:hAnsi="Calibri"/>
          <w:b/>
          <w:color w:val="2B6CB0"/>
          <w:sz w:val="26"/>
        </w:rPr>
        <w:t>5.4 Tests des Transitions de Statuts et Cohérence des Contrats</w:t>
      </w:r>
    </w:p>
    <w:p>
      <w:pPr>
        <w:spacing w:line="276" w:lineRule="auto" w:after="80"/>
        <w:jc w:val="both"/>
      </w:pPr>
      <w:r>
        <w:rPr>
          <w:rFonts w:ascii="Calibri" w:hAnsi="Calibri"/>
          <w:color w:val="2D3748"/>
          <w:sz w:val="20"/>
        </w:rPr>
        <w:t>Le module test_contract_status_transitions.py vérifie spécifiquement l'intégrité du nouveau workflow contractuel :</w:t>
      </w:r>
    </w:p>
    <w:p>
      <w:pPr>
        <w:pStyle w:val="ListBullet"/>
        <w:spacing w:line="276" w:lineRule="auto" w:after="50"/>
        <w:jc w:val="both"/>
      </w:pPr>
      <w:r>
        <w:rPr>
          <w:rFonts w:ascii="Calibri" w:hAnsi="Calibri"/>
          <w:b/>
          <w:color w:val="1B365D"/>
          <w:sz w:val="19"/>
        </w:rPr>
        <w:t xml:space="preserve">Test 1 : Création initiale : </w:t>
      </w:r>
      <w:r>
        <w:rPr>
          <w:rFonts w:ascii="Calibri" w:hAnsi="Calibri"/>
          <w:color w:val="2D3748"/>
          <w:sz w:val="19"/>
        </w:rPr>
        <w:t>Vérification qu'un contrat nouvellement créé est obligatoirement initialisé à l'état BROUILLON.</w:t>
      </w:r>
    </w:p>
    <w:p>
      <w:pPr>
        <w:pStyle w:val="ListBullet"/>
        <w:spacing w:line="276" w:lineRule="auto" w:after="50"/>
        <w:jc w:val="both"/>
      </w:pPr>
      <w:r>
        <w:rPr>
          <w:rFonts w:ascii="Calibri" w:hAnsi="Calibri"/>
          <w:b/>
          <w:color w:val="1B365D"/>
          <w:sz w:val="19"/>
        </w:rPr>
        <w:t xml:space="preserve">Test 2 : Parcours d'activation nominal : </w:t>
      </w:r>
      <w:r>
        <w:rPr>
          <w:rFonts w:ascii="Calibri" w:hAnsi="Calibri"/>
          <w:color w:val="2D3748"/>
          <w:sz w:val="19"/>
        </w:rPr>
        <w:t>Validation de la séquence ordonnée : BROUILLON → COMMUNIQUE_EN_COURS → SIGNE → ACTIF.</w:t>
      </w:r>
    </w:p>
    <w:p>
      <w:pPr>
        <w:pStyle w:val="ListBullet"/>
        <w:spacing w:line="276" w:lineRule="auto" w:after="50"/>
        <w:jc w:val="both"/>
      </w:pPr>
      <w:r>
        <w:rPr>
          <w:rFonts w:ascii="Calibri" w:hAnsi="Calibri"/>
          <w:b/>
          <w:color w:val="1B365D"/>
          <w:sz w:val="19"/>
        </w:rPr>
        <w:t xml:space="preserve">Test 3 : Cycle de fin de CDD : </w:t>
      </w:r>
      <w:r>
        <w:rPr>
          <w:rFonts w:ascii="Calibri" w:hAnsi="Calibri"/>
          <w:color w:val="2D3748"/>
          <w:sz w:val="19"/>
        </w:rPr>
        <w:t>Vérification qu'un CDD actif bascule vers FIN_CDD à son échéance, puis vers INACTIF.</w:t>
      </w:r>
    </w:p>
    <w:p>
      <w:pPr>
        <w:pStyle w:val="ListBullet"/>
        <w:spacing w:line="276" w:lineRule="auto" w:after="50"/>
        <w:jc w:val="both"/>
      </w:pPr>
      <w:r>
        <w:rPr>
          <w:rFonts w:ascii="Calibri" w:hAnsi="Calibri"/>
          <w:b/>
          <w:color w:val="1B365D"/>
          <w:sz w:val="19"/>
        </w:rPr>
        <w:t xml:space="preserve">Test 4 : Cycle de rupture CDI : </w:t>
      </w:r>
      <w:r>
        <w:rPr>
          <w:rFonts w:ascii="Calibri" w:hAnsi="Calibri"/>
          <w:color w:val="2D3748"/>
          <w:sz w:val="19"/>
        </w:rPr>
        <w:t>Vérification qu'un CDI actif bascule vers DEMISSION_CDI lors d'une rupture, puis vers INACTIF. Validation de l'interdiction d'appliquer FIN_CDD à un CDI.</w:t>
      </w:r>
    </w:p>
    <w:p>
      <w:pPr>
        <w:pStyle w:val="ListBullet"/>
        <w:spacing w:line="276" w:lineRule="auto" w:after="50"/>
        <w:jc w:val="both"/>
      </w:pPr>
      <w:r>
        <w:rPr>
          <w:rFonts w:ascii="Calibri" w:hAnsi="Calibri"/>
          <w:b/>
          <w:color w:val="1B365D"/>
          <w:sz w:val="19"/>
        </w:rPr>
        <w:t xml:space="preserve">Test 5 : Blocage des transitions invalides : </w:t>
      </w:r>
      <w:r>
        <w:rPr>
          <w:rFonts w:ascii="Calibri" w:hAnsi="Calibri"/>
          <w:color w:val="2D3748"/>
          <w:sz w:val="19"/>
        </w:rPr>
        <w:t>Validation de l'interdiction absolue de régression (ex : ACTIF → BROUILLON renvoie une erreur HTTP 400 Bad Request).</w:t>
      </w:r>
    </w:p>
    <w:p>
      <w:pPr>
        <w:pStyle w:val="ListBullet"/>
        <w:spacing w:line="276" w:lineRule="auto" w:after="50"/>
        <w:jc w:val="both"/>
      </w:pPr>
      <w:r>
        <w:rPr>
          <w:rFonts w:ascii="Calibri" w:hAnsi="Calibri"/>
          <w:b/>
          <w:color w:val="1B365D"/>
          <w:sz w:val="19"/>
        </w:rPr>
        <w:t xml:space="preserve">Test 6 : Traçabilité dans l'AuditLog : </w:t>
      </w:r>
      <w:r>
        <w:rPr>
          <w:rFonts w:ascii="Calibri" w:hAnsi="Calibri"/>
          <w:color w:val="2D3748"/>
          <w:sz w:val="19"/>
        </w:rPr>
        <w:t>Contrôle que chaque changement d'état génère un enregistrement immuable dans l'AuditLog avec l'ancien et le nouveau statut.</w:t>
      </w:r>
    </w:p>
    <w:p>
      <w:pPr>
        <w:keepNext/>
        <w:spacing w:before="240" w:after="100"/>
      </w:pPr>
      <w:r>
        <w:rPr>
          <w:rFonts w:ascii="Calibri" w:hAnsi="Calibri"/>
          <w:b/>
          <w:color w:val="2B6CB0"/>
          <w:sz w:val="26"/>
        </w:rPr>
        <w:t>5.5 Tests du Moteur d'Alertes et Idempotence de la Déduplication</w:t>
      </w:r>
    </w:p>
    <w:p>
      <w:pPr>
        <w:spacing w:line="276" w:lineRule="auto" w:after="80"/>
        <w:jc w:val="both"/>
      </w:pPr>
      <w:r>
        <w:rPr>
          <w:rFonts w:ascii="Calibri" w:hAnsi="Calibri"/>
          <w:color w:val="2D3748"/>
          <w:sz w:val="20"/>
        </w:rPr>
        <w:t>Le module test_employee_alerts.py valide le moteur d'alertes RH :</w:t>
      </w:r>
    </w:p>
    <w:p>
      <w:pPr>
        <w:pStyle w:val="ListBullet"/>
        <w:spacing w:line="276" w:lineRule="auto" w:after="50"/>
        <w:jc w:val="both"/>
      </w:pPr>
      <w:r>
        <w:rPr>
          <w:rFonts w:ascii="Calibri" w:hAnsi="Calibri"/>
          <w:b/>
          <w:color w:val="1B365D"/>
          <w:sz w:val="19"/>
        </w:rPr>
        <w:t xml:space="preserve">Ciblage précis des contrats : </w:t>
      </w:r>
      <w:r>
        <w:rPr>
          <w:rFonts w:ascii="Calibri" w:hAnsi="Calibri"/>
          <w:color w:val="2D3748"/>
          <w:sz w:val="19"/>
        </w:rPr>
        <w:t>Vérification que seules les dates d'échéance de CDD réelles génèrent des alertes (les CDI sans date de fin et les contrats inactifs/archivés sont ignorés).</w:t>
      </w:r>
    </w:p>
    <w:p>
      <w:pPr>
        <w:pStyle w:val="ListBullet"/>
        <w:spacing w:line="276" w:lineRule="auto" w:after="50"/>
        <w:jc w:val="both"/>
      </w:pPr>
      <w:r>
        <w:rPr>
          <w:rFonts w:ascii="Calibri" w:hAnsi="Calibri"/>
          <w:b/>
          <w:color w:val="1B365D"/>
          <w:sz w:val="19"/>
        </w:rPr>
        <w:t xml:space="preserve">Idempotence &amp; Déduplication : </w:t>
      </w:r>
      <w:r>
        <w:rPr>
          <w:rFonts w:ascii="Calibri" w:hAnsi="Calibri"/>
          <w:color w:val="2D3748"/>
          <w:sz w:val="19"/>
        </w:rPr>
        <w:t>Garantie que deux exécutions consécutives du moteur d'alertes ne produisent aucun doublon grâce à la contrainte d'unicité dedup_key en base de données.</w:t>
      </w:r>
    </w:p>
    <w:p>
      <w:pPr>
        <w:keepNext/>
        <w:spacing w:before="240" w:after="100"/>
      </w:pPr>
      <w:r>
        <w:rPr>
          <w:rFonts w:ascii="Calibri" w:hAnsi="Calibri"/>
          <w:b/>
          <w:color w:val="2B6CB0"/>
          <w:sz w:val="26"/>
        </w:rPr>
        <w:t>5.6 Tests du Service IA et Robustesse des Clauses Structurées</w:t>
      </w:r>
    </w:p>
    <w:p>
      <w:pPr>
        <w:spacing w:line="276" w:lineRule="auto" w:after="80"/>
        <w:jc w:val="both"/>
      </w:pPr>
      <w:r>
        <w:rPr>
          <w:rFonts w:ascii="Calibri" w:hAnsi="Calibri"/>
          <w:color w:val="2D3748"/>
          <w:sz w:val="20"/>
        </w:rPr>
        <w:t>Le module test_ai_service.py atteste de la fiabilité des fonctionnalités d'Intelligence Artificielle :</w:t>
      </w:r>
    </w:p>
    <w:p>
      <w:pPr>
        <w:pStyle w:val="ListBullet"/>
        <w:spacing w:line="276" w:lineRule="auto" w:after="50"/>
        <w:jc w:val="both"/>
      </w:pPr>
      <w:r>
        <w:rPr>
          <w:rFonts w:ascii="Calibri" w:hAnsi="Calibri"/>
          <w:b/>
          <w:color w:val="1B365D"/>
          <w:sz w:val="19"/>
        </w:rPr>
        <w:t xml:space="preserve">Validation structurelle : </w:t>
      </w:r>
      <w:r>
        <w:rPr>
          <w:rFonts w:ascii="Calibri" w:hAnsi="Calibri"/>
          <w:color w:val="2D3748"/>
          <w:sz w:val="19"/>
        </w:rPr>
        <w:t>Vérification de la conformité du payload JSON généré (présence du type 'table' ou 'mixed', liste de colonnes headers et lignes rows).</w:t>
      </w:r>
    </w:p>
    <w:p>
      <w:pPr>
        <w:pStyle w:val="ListBullet"/>
        <w:spacing w:line="276" w:lineRule="auto" w:after="50"/>
        <w:jc w:val="both"/>
      </w:pPr>
      <w:r>
        <w:rPr>
          <w:rFonts w:ascii="Calibri" w:hAnsi="Calibri"/>
          <w:b/>
          <w:color w:val="1B365D"/>
          <w:sz w:val="19"/>
        </w:rPr>
        <w:t xml:space="preserve">Résilience et Fallback : </w:t>
      </w:r>
      <w:r>
        <w:rPr>
          <w:rFonts w:ascii="Calibri" w:hAnsi="Calibri"/>
          <w:color w:val="2D3748"/>
          <w:sz w:val="19"/>
        </w:rPr>
        <w:t>Vérification du fallback transparent vers le format paragraphe textuel standard en cas de réponse non conforme du modèle.</w:t>
      </w:r>
    </w:p>
    <w:p>
      <w:pPr>
        <w:pStyle w:val="ListBullet"/>
        <w:spacing w:line="276" w:lineRule="auto" w:after="50"/>
        <w:jc w:val="both"/>
      </w:pPr>
      <w:r>
        <w:rPr>
          <w:rFonts w:ascii="Calibri" w:hAnsi="Calibri"/>
          <w:b/>
          <w:color w:val="1B365D"/>
          <w:sz w:val="19"/>
        </w:rPr>
        <w:t xml:space="preserve">Génération DOCX native : </w:t>
      </w:r>
      <w:r>
        <w:rPr>
          <w:rFonts w:ascii="Calibri" w:hAnsi="Calibri"/>
          <w:color w:val="2D3748"/>
          <w:sz w:val="19"/>
        </w:rPr>
        <w:t>Validation de l'insertion de véritables tableaux Word natifs par le document_generator sans altération des anciens articles texte.</w:t>
      </w:r>
    </w:p>
    <w:p>
      <w:pPr>
        <w:keepNext/>
        <w:spacing w:before="240" w:after="100"/>
      </w:pPr>
      <w:r>
        <w:rPr>
          <w:rFonts w:ascii="Calibri" w:hAnsi="Calibri"/>
          <w:b/>
          <w:color w:val="2B6CB0"/>
          <w:sz w:val="26"/>
        </w:rPr>
        <w:t>5.7 Tests de Sécurité et Résistance aux Attaques</w:t>
      </w:r>
    </w:p>
    <w:p>
      <w:pPr>
        <w:spacing w:line="276" w:lineRule="auto" w:after="80"/>
        <w:jc w:val="both"/>
      </w:pPr>
      <w:r>
        <w:rPr>
          <w:rFonts w:ascii="Calibri" w:hAnsi="Calibri"/>
          <w:color w:val="2D3748"/>
          <w:sz w:val="20"/>
        </w:rPr>
        <w:t>La sécurité a fait l'objet de vérifications approfondies :</w:t>
      </w:r>
    </w:p>
    <w:p>
      <w:pPr>
        <w:pStyle w:val="ListBullet"/>
        <w:spacing w:line="276" w:lineRule="auto" w:after="50"/>
        <w:jc w:val="both"/>
      </w:pPr>
      <w:r>
        <w:rPr>
          <w:rFonts w:ascii="Calibri" w:hAnsi="Calibri"/>
          <w:b/>
          <w:color w:val="1B365D"/>
          <w:sz w:val="19"/>
        </w:rPr>
        <w:t xml:space="preserve">Verrouillage de compte (Lockout) : </w:t>
      </w:r>
      <w:r>
        <w:rPr>
          <w:rFonts w:ascii="Calibri" w:hAnsi="Calibri"/>
          <w:color w:val="2D3748"/>
          <w:sz w:val="19"/>
        </w:rPr>
        <w:t>Simulation de 5 saisies consécutives de mots de passe erronés : le compte est automatiquement verrouillé et l'API renvoie HTTP 423 Locked jusqu'à expiration du délai de 15 minutes.</w:t>
      </w:r>
    </w:p>
    <w:p>
      <w:pPr>
        <w:pStyle w:val="ListBullet"/>
        <w:spacing w:line="276" w:lineRule="auto" w:after="50"/>
        <w:jc w:val="both"/>
      </w:pPr>
      <w:r>
        <w:rPr>
          <w:rFonts w:ascii="Calibri" w:hAnsi="Calibri"/>
          <w:b/>
          <w:color w:val="1B365D"/>
          <w:sz w:val="19"/>
        </w:rPr>
        <w:t xml:space="preserve">Étanchéité des privilèges (RBAC) : </w:t>
      </w:r>
      <w:r>
        <w:rPr>
          <w:rFonts w:ascii="Calibri" w:hAnsi="Calibri"/>
          <w:color w:val="2D3748"/>
          <w:sz w:val="19"/>
        </w:rPr>
        <w:t>Vérification que l'accès aux routes d'administration (/api/contrats, /api/employes, /api/audit) avec un jeton porteur du rôle 'EMPLOYE' est systématiquement rejeté par une erreur HTTP 403 Forbidden.</w:t>
      </w:r>
    </w:p>
    <w:p>
      <w:pPr>
        <w:keepNext/>
        <w:spacing w:before="240" w:after="100"/>
      </w:pPr>
      <w:r>
        <w:rPr>
          <w:rFonts w:ascii="Calibri" w:hAnsi="Calibri"/>
          <w:b/>
          <w:color w:val="2B6CB0"/>
          <w:sz w:val="26"/>
        </w:rPr>
        <w:t>5.8 Tests d'Intégration Frontend et Validation Ergonomique</w:t>
      </w:r>
    </w:p>
    <w:p>
      <w:pPr>
        <w:spacing w:line="276" w:lineRule="auto" w:after="120"/>
        <w:jc w:val="both"/>
      </w:pPr>
      <w:r>
        <w:rPr>
          <w:rFonts w:ascii="Calibri" w:hAnsi="Calibri"/>
          <w:color w:val="2D3748"/>
          <w:sz w:val="20"/>
        </w:rPr>
        <w:t>L'interface utilisateur React a été validée au moyen de tests multi-résolutions et multi-navigateurs (Chrome, Firefox, Edge). Les formulaires intègrent des validations réactives empêchant la soumission de données incohérentes (ex: date de fin antérieure à la date de début). La compilation du bundle de production via Vite (npm run build) a été exécutée avec un résultat sans aucune erreur ni avertissement.</w:t>
      </w:r>
    </w:p>
    <w:p>
      <w:pPr>
        <w:keepNext/>
        <w:spacing w:before="240" w:after="100"/>
      </w:pPr>
      <w:r>
        <w:rPr>
          <w:rFonts w:ascii="Calibri" w:hAnsi="Calibri"/>
          <w:b/>
          <w:color w:val="2B6CB0"/>
          <w:sz w:val="26"/>
        </w:rPr>
        <w:t>5.9 Synthèse des Résultats Obtenus</w:t>
      </w:r>
    </w:p>
    <w:p>
      <w:pPr>
        <w:spacing w:line="276" w:lineRule="auto" w:after="120"/>
        <w:jc w:val="both"/>
      </w:pPr>
      <w:r>
        <w:rPr>
          <w:rFonts w:ascii="Calibri" w:hAnsi="Calibri"/>
          <w:color w:val="2D3748"/>
          <w:sz w:val="20"/>
        </w:rPr>
        <w:t>Le Tableau 7 récapitule la matrice de couverture fonctionnelle et technique :</w:t>
      </w:r>
    </w:p>
    <w:tbl>
      <w:tblPr>
        <w:tblW w:type="auto" w:w="0"/>
        <w:jc w:val="center"/>
        <w:tblLayout w:type="fixed"/>
        <w:tblLook w:firstColumn="1" w:firstRow="1" w:lastColumn="0" w:lastRow="0" w:noHBand="0" w:noVBand="1" w:val="04A0"/>
      </w:tblPr>
      <w:tblGrid>
        <w:gridCol w:w="2293"/>
        <w:gridCol w:w="2293"/>
        <w:gridCol w:w="2293"/>
        <w:gridCol w:w="2293"/>
      </w:tblGrid>
      <w:tr>
        <w:tc>
          <w:tcPr>
            <w:tcW w:type="dxa" w:w="216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Module Métier</w:t>
            </w:r>
          </w:p>
        </w:tc>
        <w:tc>
          <w:tcPr>
            <w:tcW w:type="dxa" w:w="388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Composants et Mécanismes Testés</w:t>
            </w:r>
          </w:p>
        </w:tc>
        <w:tc>
          <w:tcPr>
            <w:tcW w:type="dxa" w:w="129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Couverture</w:t>
            </w:r>
          </w:p>
        </w:tc>
        <w:tc>
          <w:tcPr>
            <w:tcW w:type="dxa" w:w="2016"/>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Statut de Recette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Authentification &amp; Sécurité</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Bcrypt, JWT, Refresh Tokens, Lockout 5 tentatives, Protection RBAC</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Gestion des Collaborateurs</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CRUD complet, pagination, recherche, matricule unique</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Bibliothèque d'Articles</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Catalogue de clauses, commutateur d'activation, édition modale</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Assistant IA (Gemini)</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en langage naturel, format structuré (tableaux), fallback</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Cycle de Vie des Contrats</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Transitions Brouillon → Communiqué → Signé → Actif, Fin CDD, Démission</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Moteur d'Alertes &amp; Emails</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Échéances 30/15/7 jours, déduplication dedup_key, API Brevo</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Bureautique</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automatique DOCX, tableaux natifs stylisés, téléchargement</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Journal d'Audit</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Traçabilité complète, capture des deltas JSONB, filtres avancés</w:t>
            </w:r>
          </w:p>
        </w:tc>
        <w:tc>
          <w:tcPr>
            <w:tcW w:type="dxa" w:w="129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r>
        <w:tc>
          <w:tcPr>
            <w:tcW w:type="dxa" w:w="216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Espace Collaborateur</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Consultation profil et contrat actif en lecture seule, téléchargement</w:t>
            </w:r>
          </w:p>
        </w:tc>
        <w:tc>
          <w:tcPr>
            <w:tcW w:type="dxa" w:w="129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100%</w:t>
            </w:r>
          </w:p>
        </w:tc>
        <w:tc>
          <w:tcPr>
            <w:tcW w:type="dxa" w:w="2016"/>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Validé sans réserve</w:t>
            </w:r>
          </w:p>
        </w:tc>
      </w:tr>
    </w:tbl>
    <w:p>
      <w:pPr>
        <w:spacing w:after="100"/>
      </w:pPr>
    </w:p>
    <w:p>
      <w:pPr>
        <w:keepNext/>
        <w:spacing w:before="240" w:after="100"/>
      </w:pPr>
      <w:r>
        <w:rPr>
          <w:rFonts w:ascii="Calibri" w:hAnsi="Calibri"/>
          <w:b/>
          <w:color w:val="2B6CB0"/>
          <w:sz w:val="26"/>
        </w:rPr>
        <w:t>5.10 Problèmes Rencontrés et Solutions Apportées</w:t>
      </w:r>
    </w:p>
    <w:p>
      <w:pPr>
        <w:spacing w:line="276" w:lineRule="auto" w:after="80"/>
        <w:jc w:val="both"/>
      </w:pPr>
      <w:r>
        <w:rPr>
          <w:rFonts w:ascii="Calibri" w:hAnsi="Calibri"/>
          <w:color w:val="2D3748"/>
          <w:sz w:val="20"/>
        </w:rPr>
        <w:t>Durant la phase de réalisation, plusieurs défis techniques majeurs ont été surmontés avec succès :</w:t>
      </w:r>
    </w:p>
    <w:p>
      <w:pPr>
        <w:spacing w:line="276" w:lineRule="auto" w:after="100"/>
        <w:jc w:val="both"/>
      </w:pPr>
      <w:r>
        <w:rPr>
          <w:rFonts w:ascii="Calibri" w:hAnsi="Calibri"/>
          <w:b/>
          <w:color w:val="1B365D"/>
          <w:sz w:val="20"/>
        </w:rPr>
        <w:t xml:space="preserve">• Variabilité des réponses de l'IA générative : </w:t>
      </w:r>
      <w:r>
        <w:rPr>
          <w:rFonts w:ascii="Calibri" w:hAnsi="Calibri"/>
          <w:color w:val="2D3748"/>
          <w:sz w:val="20"/>
        </w:rPr>
        <w:t>Par nature probabiliste, un modèle de langage (LLM) peut occasionnellement dévier du format JSON demandé. Pour garantir une fiabilité absolue, nous avons combiné un prompt système contraignant exigeant un schéma JSON précis, un validateur Pydantic côté backend et une fonction de fallback convertissant toute réponse atypique en texte brut exploitable sans blocage.</w:t>
      </w:r>
    </w:p>
    <w:p>
      <w:pPr>
        <w:spacing w:line="276" w:lineRule="auto" w:after="100"/>
        <w:jc w:val="both"/>
      </w:pPr>
      <w:r>
        <w:rPr>
          <w:rFonts w:ascii="Calibri" w:hAnsi="Calibri"/>
          <w:b/>
          <w:color w:val="1B365D"/>
          <w:sz w:val="20"/>
        </w:rPr>
        <w:t xml:space="preserve">• Risque de doublons dans le moteur d'alertes : </w:t>
      </w:r>
      <w:r>
        <w:rPr>
          <w:rFonts w:ascii="Calibri" w:hAnsi="Calibri"/>
          <w:color w:val="2D3748"/>
          <w:sz w:val="20"/>
        </w:rPr>
        <w:t>L'exécution répétée ou concurrente du script d'analyse des dates d'échéance risquait de saturer la table des notifications de messages identiques. Ce problème a été résolu en concevant une clé de déduplication déterministe (dedup_key = f'CONTRACT_EXPIRING_{contract_id}_{days_left}d_{year_month}') indexée de manière unique en base de données.</w:t>
      </w:r>
    </w:p>
    <w:p>
      <w:pPr>
        <w:spacing w:line="276" w:lineRule="auto" w:after="120"/>
        <w:jc w:val="both"/>
      </w:pPr>
      <w:r>
        <w:rPr>
          <w:rFonts w:ascii="Calibri" w:hAnsi="Calibri"/>
          <w:b/>
          <w:color w:val="1B365D"/>
          <w:sz w:val="20"/>
        </w:rPr>
        <w:t xml:space="preserve">• Conflit de session lors de l'accès direct par email : </w:t>
      </w:r>
      <w:r>
        <w:rPr>
          <w:rFonts w:ascii="Calibri" w:hAnsi="Calibri"/>
          <w:color w:val="2D3748"/>
          <w:sz w:val="20"/>
        </w:rPr>
        <w:t>Lorsqu'un utilisateur cliquait sur le lien d'un email d'alerte pour consulter son contrat, le système devait gérer intelligemment l'état de session : si la session active correspondait à un compte administrateur, l'application évitait une redirection erronée en invitant courtoisement l'utilisateur à se connecter avec le compte collaborateur concerné.</w:t>
      </w:r>
    </w:p>
    <w:p>
      <w:pPr>
        <w:keepNext/>
        <w:spacing w:before="240" w:after="100"/>
      </w:pPr>
      <w:r>
        <w:rPr>
          <w:rFonts w:ascii="Calibri" w:hAnsi="Calibri"/>
          <w:b/>
          <w:color w:val="2B6CB0"/>
          <w:sz w:val="26"/>
        </w:rPr>
        <w:t>5.11 Conclusion du Chapitre</w:t>
      </w:r>
    </w:p>
    <w:p>
      <w:pPr>
        <w:spacing w:line="276" w:lineRule="auto" w:after="200"/>
        <w:jc w:val="both"/>
      </w:pPr>
      <w:r>
        <w:rPr>
          <w:rFonts w:ascii="Calibri" w:hAnsi="Calibri"/>
          <w:color w:val="2D3748"/>
          <w:sz w:val="20"/>
        </w:rPr>
        <w:t>La rigueur de la stratégie de qualification et le succès intégral des 78 tests automatisés attestent de la robustesse, de la sécurité et de la maturité opérationnelle de l'application. Le chapitre suivant dresse le bilan du stage et esquisse les perspectives d'évolution future.</w:t>
      </w:r>
    </w:p>
    <w:p>
      <w:r>
        <w:br w:type="page"/>
      </w:r>
    </w:p>
    <w:p>
      <w:pPr>
        <w:keepNext/>
        <w:spacing w:before="320" w:after="160"/>
      </w:pPr>
      <w:r>
        <w:rPr>
          <w:rFonts w:ascii="Calibri" w:hAnsi="Calibri"/>
          <w:b/>
          <w:color w:val="1B365D"/>
          <w:sz w:val="32"/>
        </w:rPr>
        <w:t>CHAPITRE 6 : BILAN, COMPÉTENCES ET PERSPECTIVES</w:t>
      </w:r>
    </w:p>
    <w:p>
      <w:pPr>
        <w:keepNext/>
        <w:spacing w:before="240" w:after="100"/>
      </w:pPr>
      <w:r>
        <w:rPr>
          <w:rFonts w:ascii="Calibri" w:hAnsi="Calibri"/>
          <w:b/>
          <w:color w:val="2B6CB0"/>
          <w:sz w:val="26"/>
        </w:rPr>
        <w:t>6.1 Bilan Global du Projet</w:t>
      </w:r>
    </w:p>
    <w:p>
      <w:pPr>
        <w:spacing w:line="276" w:lineRule="auto" w:after="120"/>
        <w:jc w:val="both"/>
      </w:pPr>
      <w:r>
        <w:rPr>
          <w:rFonts w:ascii="Calibri" w:hAnsi="Calibri"/>
          <w:color w:val="2D3748"/>
          <w:sz w:val="20"/>
        </w:rPr>
        <w:t>Le projet réalisé dans le cadre de ce stage de fin d'études chez CSI Digital a permis d'atteindre avec succès l'ensemble des objectifs fixés dans le cahier des charges initial. L'application web RH développée constitue une solution opérationnelle, moderne et intégrée, répondant aux défis quotidiens de gestion du personnel et de sécurisation du cycle de vie contractuel.</w:t>
      </w:r>
    </w:p>
    <w:p>
      <w:pPr>
        <w:spacing w:line="276" w:lineRule="auto" w:after="160"/>
        <w:jc w:val="both"/>
      </w:pPr>
      <w:r>
        <w:rPr>
          <w:rFonts w:ascii="Calibri" w:hAnsi="Calibri"/>
          <w:color w:val="2D3748"/>
          <w:sz w:val="20"/>
        </w:rPr>
        <w:t>En substituant une plateforme centralisée et automatisée aux anciens processus manuels dispersés (fichiers tableurs et copier-coller bureautique), le système procure des gains d'efficacité immédiats : réduction drastique du temps d'élaboration des contrats grâce aux articles modulaires et à l'Assistant IA, élimination des erreurs humaines de ressaisie, anticipation proactive des échéances de fin de CDD et garantie d'une conformité légale et sécuritaire absolue.</w:t>
      </w:r>
    </w:p>
    <w:p>
      <w:pPr>
        <w:keepNext/>
        <w:spacing w:before="240" w:after="100"/>
      </w:pPr>
      <w:r>
        <w:rPr>
          <w:rFonts w:ascii="Calibri" w:hAnsi="Calibri"/>
          <w:b/>
          <w:color w:val="2B6CB0"/>
          <w:sz w:val="26"/>
        </w:rPr>
        <w:t>6.2 Compétences Techniques et Humaines Acquises</w:t>
      </w:r>
    </w:p>
    <w:p>
      <w:pPr>
        <w:spacing w:line="276" w:lineRule="auto" w:after="80"/>
        <w:jc w:val="both"/>
      </w:pPr>
      <w:r>
        <w:rPr>
          <w:rFonts w:ascii="Calibri" w:hAnsi="Calibri"/>
          <w:color w:val="2D3748"/>
          <w:sz w:val="20"/>
        </w:rPr>
        <w:t>Ce projet a été le creuset d'un enrichissement professionnel et personnel déterminant, favorisant l'acquisition et le perfectionnement de compétences variées :</w:t>
      </w:r>
    </w:p>
    <w:p>
      <w:pPr>
        <w:spacing w:line="276" w:lineRule="auto" w:after="100"/>
        <w:jc w:val="both"/>
      </w:pPr>
      <w:r>
        <w:rPr>
          <w:rFonts w:ascii="Calibri" w:hAnsi="Calibri"/>
          <w:b/>
          <w:color w:val="1B365D"/>
          <w:sz w:val="20"/>
        </w:rPr>
        <w:t xml:space="preserve">• Compétences Techniques Backend : </w:t>
      </w:r>
      <w:r>
        <w:rPr>
          <w:rFonts w:ascii="Calibri" w:hAnsi="Calibri"/>
          <w:color w:val="2D3748"/>
          <w:sz w:val="20"/>
        </w:rPr>
        <w:t>Maîtrise approfondie du framework asynchrone FastAPI, conception de modèles de données relationnels optimisés avec PostgreSQL et SQLAlchemy 2.0, intégration d'APIs tierces de premier plan (Google Gemini AI, Brevo Email API), mise en œuvre de mécanismes de sécurité avancés (Bcrypt, JWT avec rotation de refresh tokens, politiques anti-brute force) et écriture de suites de tests automatisés avec Pytest.</w:t>
      </w:r>
    </w:p>
    <w:p>
      <w:pPr>
        <w:spacing w:line="276" w:lineRule="auto" w:after="100"/>
        <w:jc w:val="both"/>
      </w:pPr>
      <w:r>
        <w:rPr>
          <w:rFonts w:ascii="Calibri" w:hAnsi="Calibri"/>
          <w:b/>
          <w:color w:val="1B365D"/>
          <w:sz w:val="20"/>
        </w:rPr>
        <w:t xml:space="preserve">• Compétences Techniques Frontend : </w:t>
      </w:r>
      <w:r>
        <w:rPr>
          <w:rFonts w:ascii="Calibri" w:hAnsi="Calibri"/>
          <w:color w:val="2D3748"/>
          <w:sz w:val="20"/>
        </w:rPr>
        <w:t>Maîtrise de React 18 et de son outillage moderne (Vite), gestion efficace du routage et des contextes d'authentification, conception d'une interface responsive élégante en CSS Vanilla et Glassmorphism, et modélisation de composants dynamiques et ergonomiques.</w:t>
      </w:r>
    </w:p>
    <w:p>
      <w:pPr>
        <w:spacing w:line="276" w:lineRule="auto" w:after="100"/>
        <w:jc w:val="both"/>
      </w:pPr>
      <w:r>
        <w:rPr>
          <w:rFonts w:ascii="Calibri" w:hAnsi="Calibri"/>
          <w:b/>
          <w:color w:val="1B365D"/>
          <w:sz w:val="20"/>
        </w:rPr>
        <w:t xml:space="preserve">• Compétences Méthodologiques &amp; Génie Logiciel : </w:t>
      </w:r>
      <w:r>
        <w:rPr>
          <w:rFonts w:ascii="Calibri" w:hAnsi="Calibri"/>
          <w:color w:val="2D3748"/>
          <w:sz w:val="20"/>
        </w:rPr>
        <w:t>Application concrète des cérémonies et des principes de la méthodologie agile Scrum, planification des sprints, rédaction de cahiers des charges précis, modélisation UML rigoureuse et utilisation professionnelle du gestionnaire de versions Git.</w:t>
      </w:r>
    </w:p>
    <w:p>
      <w:pPr>
        <w:spacing w:line="276" w:lineRule="auto" w:after="160"/>
        <w:jc w:val="both"/>
      </w:pPr>
      <w:r>
        <w:rPr>
          <w:rFonts w:ascii="Calibri" w:hAnsi="Calibri"/>
          <w:b/>
          <w:color w:val="1B365D"/>
          <w:sz w:val="20"/>
        </w:rPr>
        <w:t xml:space="preserve">• Compétences Humaines et Relationnelles : </w:t>
      </w:r>
      <w:r>
        <w:rPr>
          <w:rFonts w:ascii="Calibri" w:hAnsi="Calibri"/>
          <w:color w:val="2D3748"/>
          <w:sz w:val="20"/>
        </w:rPr>
        <w:t>Développement de l'autonomie, de la rigueur intellectuelle, de la capacité d'écoute et de restitution face aux exigences métiers de l'encadrement en entreprise, ainsi qu'une aptitude renforcée à la communication technique.</w:t>
      </w:r>
    </w:p>
    <w:p>
      <w:pPr>
        <w:keepNext/>
        <w:spacing w:before="240" w:after="100"/>
      </w:pPr>
      <w:r>
        <w:rPr>
          <w:rFonts w:ascii="Calibri" w:hAnsi="Calibri"/>
          <w:b/>
          <w:color w:val="2B6CB0"/>
          <w:sz w:val="26"/>
        </w:rPr>
        <w:t>6.3 Limites Actuelles de la Solution</w:t>
      </w:r>
    </w:p>
    <w:p>
      <w:pPr>
        <w:spacing w:line="276" w:lineRule="auto" w:after="80"/>
        <w:jc w:val="both"/>
      </w:pPr>
      <w:r>
        <w:rPr>
          <w:rFonts w:ascii="Calibri" w:hAnsi="Calibri"/>
          <w:color w:val="2D3748"/>
          <w:sz w:val="20"/>
        </w:rPr>
        <w:t>Bien que l'application soit pleinement fonctionnelle et prête pour un déploiement en environnement de pré-production, elle présente certaines limites délimitant son périmètre actuel :</w:t>
      </w:r>
    </w:p>
    <w:p>
      <w:pPr>
        <w:pStyle w:val="ListBullet"/>
        <w:spacing w:line="276" w:lineRule="auto" w:after="50"/>
        <w:jc w:val="both"/>
      </w:pPr>
      <w:r>
        <w:rPr>
          <w:rFonts w:ascii="Calibri" w:hAnsi="Calibri"/>
          <w:b/>
          <w:color w:val="1B365D"/>
          <w:sz w:val="19"/>
        </w:rPr>
        <w:t xml:space="preserve">Absence de signature électronique certifiée : </w:t>
      </w:r>
      <w:r>
        <w:rPr>
          <w:rFonts w:ascii="Calibri" w:hAnsi="Calibri"/>
          <w:color w:val="2D3748"/>
          <w:sz w:val="19"/>
        </w:rPr>
        <w:t>Le système génère des documents Word prêts pour signature manuscrite mais n'intègre pas encore de connecteur natif vers des plateformes de signature électronique légalement certifiées (ex : DocuSign ou Yousign conforme eIDAS).</w:t>
      </w:r>
    </w:p>
    <w:p>
      <w:pPr>
        <w:pStyle w:val="ListBullet"/>
        <w:spacing w:line="276" w:lineRule="auto" w:after="50"/>
        <w:jc w:val="both"/>
      </w:pPr>
      <w:r>
        <w:rPr>
          <w:rFonts w:ascii="Calibri" w:hAnsi="Calibri"/>
          <w:b/>
          <w:color w:val="1B365D"/>
          <w:sz w:val="19"/>
        </w:rPr>
        <w:t xml:space="preserve">Périmètre paie non couvert : </w:t>
      </w:r>
      <w:r>
        <w:rPr>
          <w:rFonts w:ascii="Calibri" w:hAnsi="Calibri"/>
          <w:color w:val="2D3748"/>
          <w:sz w:val="19"/>
        </w:rPr>
        <w:t>L'application gère les rémunérations contractuelles mais ne comprend pas de module complet d'édition de fiches de paie mensuelles ni de calcul des cotisations sociales.</w:t>
      </w:r>
    </w:p>
    <w:p>
      <w:pPr>
        <w:pStyle w:val="ListBullet"/>
        <w:spacing w:line="276" w:lineRule="auto" w:after="50"/>
        <w:jc w:val="both"/>
      </w:pPr>
      <w:r>
        <w:rPr>
          <w:rFonts w:ascii="Calibri" w:hAnsi="Calibri"/>
          <w:b/>
          <w:color w:val="1B365D"/>
          <w:sz w:val="19"/>
        </w:rPr>
        <w:t xml:space="preserve">Absence d'application mobile native : </w:t>
      </w:r>
      <w:r>
        <w:rPr>
          <w:rFonts w:ascii="Calibri" w:hAnsi="Calibri"/>
          <w:color w:val="2D3748"/>
          <w:sz w:val="19"/>
        </w:rPr>
        <w:t>L'accès est actuellement optimisé pour les navigateurs web de bureau et tablettes, sans application mobile dédiée.</w:t>
      </w:r>
    </w:p>
    <w:p>
      <w:pPr>
        <w:keepNext/>
        <w:spacing w:before="240" w:after="100"/>
      </w:pPr>
      <w:r>
        <w:rPr>
          <w:rFonts w:ascii="Calibri" w:hAnsi="Calibri"/>
          <w:b/>
          <w:color w:val="2B6CB0"/>
          <w:sz w:val="26"/>
        </w:rPr>
        <w:t>6.4 Perspectives d'Évolution et Travaux Futurs</w:t>
      </w:r>
    </w:p>
    <w:p>
      <w:pPr>
        <w:spacing w:line="276" w:lineRule="auto" w:after="80"/>
        <w:jc w:val="both"/>
      </w:pPr>
      <w:r>
        <w:rPr>
          <w:rFonts w:ascii="Calibri" w:hAnsi="Calibri"/>
          <w:color w:val="2D3748"/>
          <w:sz w:val="20"/>
        </w:rPr>
        <w:t>Pour prolonger les acquis de ce travail et enrichir la valeur apportée aux directions des ressources humaines, plusieurs pistes d'évolution prometteuses sont envisagées :</w:t>
      </w:r>
    </w:p>
    <w:p>
      <w:pPr>
        <w:pStyle w:val="ListBullet"/>
        <w:spacing w:line="276" w:lineRule="auto" w:after="50"/>
        <w:jc w:val="both"/>
      </w:pPr>
      <w:r>
        <w:rPr>
          <w:rFonts w:ascii="Calibri" w:hAnsi="Calibri"/>
          <w:b/>
          <w:color w:val="1B365D"/>
          <w:sz w:val="19"/>
        </w:rPr>
        <w:t xml:space="preserve">Intégration de la Signature Électronique eIDAS : </w:t>
      </w:r>
      <w:r>
        <w:rPr>
          <w:rFonts w:ascii="Calibri" w:hAnsi="Calibri"/>
          <w:color w:val="2D3748"/>
          <w:sz w:val="19"/>
        </w:rPr>
        <w:t>Intégrer une solution de signature électronique cryptographique directement dans l'application, permettant au salarié de signer son contrat en ligne avec valeur probante dès la transition vers le statut SIGNÉ.</w:t>
      </w:r>
    </w:p>
    <w:p>
      <w:pPr>
        <w:pStyle w:val="ListBullet"/>
        <w:spacing w:line="276" w:lineRule="auto" w:after="50"/>
        <w:jc w:val="both"/>
      </w:pPr>
      <w:r>
        <w:rPr>
          <w:rFonts w:ascii="Calibri" w:hAnsi="Calibri"/>
          <w:b/>
          <w:color w:val="1B365D"/>
          <w:sz w:val="19"/>
        </w:rPr>
        <w:t xml:space="preserve">Module de Gestion des Congés et Absences : </w:t>
      </w:r>
      <w:r>
        <w:rPr>
          <w:rFonts w:ascii="Calibri" w:hAnsi="Calibri"/>
          <w:color w:val="2D3748"/>
          <w:sz w:val="19"/>
        </w:rPr>
        <w:t>Développer un module complémentaire permettant aux employés de poser leurs demandes de congés payés et aux managers de les valider en ligne.</w:t>
      </w:r>
    </w:p>
    <w:p>
      <w:pPr>
        <w:pStyle w:val="ListBullet"/>
        <w:spacing w:line="276" w:lineRule="auto" w:after="50"/>
        <w:jc w:val="both"/>
      </w:pPr>
      <w:r>
        <w:rPr>
          <w:rFonts w:ascii="Calibri" w:hAnsi="Calibri"/>
          <w:b/>
          <w:color w:val="1B365D"/>
          <w:sz w:val="19"/>
        </w:rPr>
        <w:t xml:space="preserve">Application Mobile Collaborateur : </w:t>
      </w:r>
      <w:r>
        <w:rPr>
          <w:rFonts w:ascii="Calibri" w:hAnsi="Calibri"/>
          <w:color w:val="2D3748"/>
          <w:sz w:val="19"/>
        </w:rPr>
        <w:t>Créer une application mobile (ex: avec Flutter ou React Native) offrant aux collaborateurs un accès immédiat à leurs notifications, alertes et documents administratifs sur smartphone.</w:t>
      </w:r>
    </w:p>
    <w:p>
      <w:pPr>
        <w:pStyle w:val="ListBullet"/>
        <w:spacing w:line="276" w:lineRule="auto" w:after="50"/>
        <w:jc w:val="both"/>
      </w:pPr>
      <w:r>
        <w:rPr>
          <w:rFonts w:ascii="Calibri" w:hAnsi="Calibri"/>
          <w:b/>
          <w:color w:val="1B365D"/>
          <w:sz w:val="19"/>
        </w:rPr>
        <w:t xml:space="preserve">Interopérabilité avec les Logiciels de Paie : </w:t>
      </w:r>
      <w:r>
        <w:rPr>
          <w:rFonts w:ascii="Calibri" w:hAnsi="Calibri"/>
          <w:color w:val="2D3748"/>
          <w:sz w:val="19"/>
        </w:rPr>
        <w:t>Développer des connecteurs d'exportation standardisés (formats DSN, CSV, API) vers les principaux logiciels de gestion de paie du marché (ex : Sage, Cegid).</w:t>
      </w:r>
    </w:p>
    <w:p>
      <w:pPr>
        <w:keepNext/>
        <w:spacing w:before="240" w:after="100"/>
      </w:pPr>
      <w:r>
        <w:rPr>
          <w:rFonts w:ascii="Calibri" w:hAnsi="Calibri"/>
          <w:b/>
          <w:color w:val="2B6CB0"/>
          <w:sz w:val="26"/>
        </w:rPr>
        <w:t>6.5 Conclusion du Chapitre</w:t>
      </w:r>
    </w:p>
    <w:p>
      <w:pPr>
        <w:spacing w:line="276" w:lineRule="auto" w:after="200"/>
        <w:jc w:val="both"/>
      </w:pPr>
      <w:r>
        <w:rPr>
          <w:rFonts w:ascii="Calibri" w:hAnsi="Calibri"/>
          <w:color w:val="2D3748"/>
          <w:sz w:val="20"/>
        </w:rPr>
        <w:t>Ce dernier chapitre a permis de dresser un bilan global très positif des travaux entrepris, d'objectiver les compétences techniques et humaines acquises et d'ouvrir des perspectives d'évolution concrètes pour transformer ce projet en une solution RH encore plus globale.</w:t>
      </w:r>
    </w:p>
    <w:p>
      <w:r>
        <w:br w:type="page"/>
      </w:r>
    </w:p>
    <w:p>
      <w:pPr>
        <w:keepNext/>
        <w:spacing w:before="320" w:after="160"/>
      </w:pPr>
      <w:r>
        <w:rPr>
          <w:rFonts w:ascii="Calibri" w:hAnsi="Calibri"/>
          <w:b/>
          <w:color w:val="1B365D"/>
          <w:sz w:val="32"/>
        </w:rPr>
        <w:t>CONCLUSION GÉNÉRALE</w:t>
      </w:r>
    </w:p>
    <w:p>
      <w:pPr>
        <w:spacing w:line="276" w:lineRule="auto" w:after="120"/>
        <w:jc w:val="both"/>
      </w:pPr>
      <w:r>
        <w:rPr>
          <w:rFonts w:ascii="Calibri" w:hAnsi="Calibri"/>
          <w:color w:val="2D3748"/>
          <w:sz w:val="20"/>
        </w:rPr>
        <w:t>Ce travail de fin d'études, réalisé au sein de la société CSI Digital, s'inscrit au cœur des défis contemporains de la transformation digitale des ressources humaines. L'objectif initial était ambitieux : concevoir et développer une application web RH globale, modulaire, sécurisée et intelligente, capable de rationaliser l'intégralité du cycle de vie des employés et de leurs contrats de travail.</w:t>
      </w:r>
    </w:p>
    <w:p>
      <w:pPr>
        <w:spacing w:line="276" w:lineRule="auto" w:after="120"/>
        <w:jc w:val="both"/>
      </w:pPr>
      <w:r>
        <w:rPr>
          <w:rFonts w:ascii="Calibri" w:hAnsi="Calibri"/>
          <w:color w:val="2D3748"/>
          <w:sz w:val="20"/>
        </w:rPr>
        <w:t>À l'issue de cette période d'ingénierie, les résultats obtenus sont pleinement satisfaisants et opérationnels. Grâce à une démarche d'analyse minutieuse et à l'adoption d'une architecture moderne découplée en trois tiers, le système combine la réactivité du framework React 18, la puissance asynchrone et le typage strict de FastAPI (Python), et la fiabilité transactionnelle de PostgreSQL.</w:t>
      </w:r>
    </w:p>
    <w:p>
      <w:pPr>
        <w:spacing w:line="276" w:lineRule="auto" w:after="80"/>
        <w:jc w:val="both"/>
      </w:pPr>
      <w:r>
        <w:rPr>
          <w:rFonts w:ascii="Calibri" w:hAnsi="Calibri"/>
          <w:color w:val="2D3748"/>
          <w:sz w:val="20"/>
        </w:rPr>
        <w:t>L'application se distingue par des apports méthodologiques et techniques notables :</w:t>
      </w:r>
    </w:p>
    <w:p>
      <w:pPr>
        <w:pStyle w:val="ListBullet"/>
        <w:spacing w:line="276" w:lineRule="auto" w:after="50"/>
        <w:jc w:val="both"/>
      </w:pPr>
      <w:r>
        <w:rPr>
          <w:rFonts w:ascii="Calibri" w:hAnsi="Calibri"/>
          <w:b/>
          <w:color w:val="1B365D"/>
          <w:sz w:val="19"/>
        </w:rPr>
        <w:t xml:space="preserve">Modularité contractuelle : </w:t>
      </w:r>
      <w:r>
        <w:rPr>
          <w:rFonts w:ascii="Calibri" w:hAnsi="Calibri"/>
          <w:color w:val="2D3748"/>
          <w:sz w:val="19"/>
        </w:rPr>
        <w:t>Une bibliothèque de clauses modulaires éliminant la dispersion et la redondance des modèles traditionnels.</w:t>
      </w:r>
    </w:p>
    <w:p>
      <w:pPr>
        <w:pStyle w:val="ListBullet"/>
        <w:spacing w:line="276" w:lineRule="auto" w:after="50"/>
        <w:jc w:val="both"/>
      </w:pPr>
      <w:r>
        <w:rPr>
          <w:rFonts w:ascii="Calibri" w:hAnsi="Calibri"/>
          <w:b/>
          <w:color w:val="1B365D"/>
          <w:sz w:val="19"/>
        </w:rPr>
        <w:t xml:space="preserve">Assistance par Intelligence Artificielle : </w:t>
      </w:r>
      <w:r>
        <w:rPr>
          <w:rFonts w:ascii="Calibri" w:hAnsi="Calibri"/>
          <w:color w:val="2D3748"/>
          <w:sz w:val="19"/>
        </w:rPr>
        <w:t>L'introduction novatrice d'un Assistant IA basé sur Google Gemini, capable de rédiger et de structurer des clauses contractuelles complexes incluant des tableaux natifs de rémunération, sous contrôle permanent du responsable RH.</w:t>
      </w:r>
    </w:p>
    <w:p>
      <w:pPr>
        <w:pStyle w:val="ListBullet"/>
        <w:spacing w:line="276" w:lineRule="auto" w:after="50"/>
        <w:jc w:val="both"/>
      </w:pPr>
      <w:r>
        <w:rPr>
          <w:rFonts w:ascii="Calibri" w:hAnsi="Calibri"/>
          <w:b/>
          <w:color w:val="1B365D"/>
          <w:sz w:val="19"/>
        </w:rPr>
        <w:t xml:space="preserve">Sécurisation du cycle de vie : </w:t>
      </w:r>
      <w:r>
        <w:rPr>
          <w:rFonts w:ascii="Calibri" w:hAnsi="Calibri"/>
          <w:color w:val="2D3748"/>
          <w:sz w:val="19"/>
        </w:rPr>
        <w:t>Une machine à états finis garantissant des transitions de statuts de contrats irréversibles et juridiquement cohérentes (Brouillon, Communiqué, Signé, Actif, Fin CDD, Démission CDI, Pas discuté, Inactif).</w:t>
      </w:r>
    </w:p>
    <w:p>
      <w:pPr>
        <w:pStyle w:val="ListBullet"/>
        <w:spacing w:line="276" w:lineRule="auto" w:after="50"/>
        <w:jc w:val="both"/>
      </w:pPr>
      <w:r>
        <w:rPr>
          <w:rFonts w:ascii="Calibri" w:hAnsi="Calibri"/>
          <w:b/>
          <w:color w:val="1B365D"/>
          <w:sz w:val="19"/>
        </w:rPr>
        <w:t xml:space="preserve">Automatisation proactive : </w:t>
      </w:r>
      <w:r>
        <w:rPr>
          <w:rFonts w:ascii="Calibri" w:hAnsi="Calibri"/>
          <w:color w:val="2D3748"/>
          <w:sz w:val="19"/>
        </w:rPr>
        <w:t>L'automatisation sans faille de la génération Word (.docx), du moteur d'alertes d'expiration dédupliquées à 30, 15 et 7 jours, et de l'envoi d'emails transactionnels via Brevo.</w:t>
      </w:r>
    </w:p>
    <w:p>
      <w:pPr>
        <w:pStyle w:val="ListBullet"/>
        <w:spacing w:line="276" w:lineRule="auto" w:after="50"/>
        <w:jc w:val="both"/>
      </w:pPr>
      <w:r>
        <w:rPr>
          <w:rFonts w:ascii="Calibri" w:hAnsi="Calibri"/>
          <w:b/>
          <w:color w:val="1B365D"/>
          <w:sz w:val="19"/>
        </w:rPr>
        <w:t xml:space="preserve">Confidentialité et Auditabilité : </w:t>
      </w:r>
      <w:r>
        <w:rPr>
          <w:rFonts w:ascii="Calibri" w:hAnsi="Calibri"/>
          <w:color w:val="2D3748"/>
          <w:sz w:val="19"/>
        </w:rPr>
        <w:t>Une traçabilité intégrale assurée par un journal d'audit granulaire et une sécurité d'accès durcie protégeant l'espace collaborateur.</w:t>
      </w:r>
    </w:p>
    <w:p>
      <w:pPr>
        <w:spacing w:line="276" w:lineRule="auto" w:after="120"/>
        <w:jc w:val="both"/>
      </w:pPr>
      <w:r>
        <w:rPr>
          <w:rFonts w:ascii="Calibri" w:hAnsi="Calibri"/>
          <w:color w:val="2D3748"/>
          <w:sz w:val="20"/>
        </w:rPr>
        <w:t>La validation rigoureuse assurée par les 78 tests automatisés (100% de réussite) confère au produit une robustesse industrielle incontestable.</w:t>
      </w:r>
    </w:p>
    <w:p>
      <w:pPr>
        <w:spacing w:line="276" w:lineRule="auto" w:after="280"/>
        <w:jc w:val="both"/>
      </w:pPr>
      <w:r>
        <w:rPr>
          <w:rFonts w:ascii="Calibri" w:hAnsi="Calibri"/>
          <w:color w:val="2D3748"/>
          <w:sz w:val="20"/>
        </w:rPr>
        <w:t>Sur le plan personnel, ce stage a constitué une expérience charnière dans mon parcours d'élève ingénieur à ESPRIT. Il m'a permis de mettre en pratique les compétences acquises au cours de mon cursus académique, de me confronter aux réalités exigeantes d'un projet d'entreprise et d'affirmer ma vocation pour l'architecture logicielle, le développement web full-stack et l'intégration raisonnée de l'Intelligence Artificielle au service des processus métiers.</w:t>
      </w:r>
    </w:p>
    <w:p>
      <w:r>
        <w:br w:type="page"/>
      </w:r>
    </w:p>
    <w:p>
      <w:pPr>
        <w:keepNext/>
        <w:spacing w:before="320" w:after="160"/>
      </w:pPr>
      <w:r>
        <w:rPr>
          <w:rFonts w:ascii="Calibri" w:hAnsi="Calibri"/>
          <w:b/>
          <w:color w:val="1B365D"/>
          <w:sz w:val="32"/>
        </w:rPr>
        <w:t>BIBLIOGRAPHIE ET WEBOGRAPHIE</w:t>
      </w:r>
    </w:p>
    <w:p>
      <w:pPr>
        <w:keepNext/>
        <w:spacing w:before="240" w:after="100"/>
      </w:pPr>
      <w:r>
        <w:rPr>
          <w:rFonts w:ascii="Calibri" w:hAnsi="Calibri"/>
          <w:b/>
          <w:color w:val="2B6CB0"/>
          <w:sz w:val="26"/>
        </w:rPr>
        <w:t>Ouvrages et Publications Académiques</w:t>
      </w:r>
    </w:p>
    <w:p>
      <w:pPr>
        <w:spacing w:line="276" w:lineRule="auto" w:after="80"/>
        <w:jc w:val="both"/>
      </w:pPr>
      <w:r>
        <w:rPr>
          <w:rFonts w:ascii="Calibri" w:hAnsi="Calibri"/>
          <w:color w:val="2D3748"/>
          <w:sz w:val="20"/>
        </w:rPr>
        <w:t>[1] Sommerville, I. (2016). Software Engineering (10th ed.). Pearson Education. Guide de référence en génie logiciel, cycle de vie et spécification des exigences.</w:t>
      </w:r>
    </w:p>
    <w:p>
      <w:pPr>
        <w:spacing w:line="276" w:lineRule="auto" w:after="80"/>
        <w:jc w:val="both"/>
      </w:pPr>
      <w:r>
        <w:rPr>
          <w:rFonts w:ascii="Calibri" w:hAnsi="Calibri"/>
          <w:color w:val="2D3748"/>
          <w:sz w:val="20"/>
        </w:rPr>
        <w:t>[2] Martin, R. C. (2017). Clean Architecture: A Craftsman's Guide to Software Structure and Design. Prentice Hall. Principes d'architecture découplée et de séparation des responsabilités.</w:t>
      </w:r>
    </w:p>
    <w:p>
      <w:pPr>
        <w:spacing w:line="276" w:lineRule="auto" w:after="80"/>
        <w:jc w:val="both"/>
      </w:pPr>
      <w:r>
        <w:rPr>
          <w:rFonts w:ascii="Calibri" w:hAnsi="Calibri"/>
          <w:color w:val="2D3748"/>
          <w:sz w:val="20"/>
        </w:rPr>
        <w:t>[3] Fowler, M. (2002). Patterns of Enterprise Application Architecture. Addison-Wesley. Modélisation ORM, patterns de domaine et persistance relationnelle.</w:t>
      </w:r>
    </w:p>
    <w:p>
      <w:pPr>
        <w:spacing w:line="276" w:lineRule="auto" w:after="160"/>
        <w:jc w:val="both"/>
      </w:pPr>
      <w:r>
        <w:rPr>
          <w:rFonts w:ascii="Calibri" w:hAnsi="Calibri"/>
          <w:color w:val="2D3748"/>
          <w:sz w:val="20"/>
        </w:rPr>
        <w:t>[4] Gamma, E., Helm, R., Johnson, R., &amp; Vlissides, J. (1994). Design Patterns: Elements of Reusable Object-Oriented Software. Addison-Wesley.</w:t>
      </w:r>
    </w:p>
    <w:p>
      <w:pPr>
        <w:keepNext/>
        <w:spacing w:before="240" w:after="100"/>
      </w:pPr>
      <w:r>
        <w:rPr>
          <w:rFonts w:ascii="Calibri" w:hAnsi="Calibri"/>
          <w:b/>
          <w:color w:val="2B6CB0"/>
          <w:sz w:val="26"/>
        </w:rPr>
        <w:t>Documentations Techniques et Références Web</w:t>
      </w:r>
    </w:p>
    <w:p>
      <w:pPr>
        <w:spacing w:line="276" w:lineRule="auto" w:after="80"/>
        <w:jc w:val="both"/>
      </w:pPr>
      <w:r>
        <w:rPr>
          <w:rFonts w:ascii="Calibri" w:hAnsi="Calibri"/>
          <w:color w:val="2D3748"/>
          <w:sz w:val="20"/>
        </w:rPr>
        <w:t>[5] Documentation officielle de FastAPI : https://fastapi.tiangolo.com/ — Architecture asynchrone, injection de dépendances et intégration OpenAPI.</w:t>
      </w:r>
    </w:p>
    <w:p>
      <w:pPr>
        <w:spacing w:line="276" w:lineRule="auto" w:after="80"/>
        <w:jc w:val="both"/>
      </w:pPr>
      <w:r>
        <w:rPr>
          <w:rFonts w:ascii="Calibri" w:hAnsi="Calibri"/>
          <w:color w:val="2D3748"/>
          <w:sz w:val="20"/>
        </w:rPr>
        <w:t>[6] Documentation officielle de React 18 : https://react.dev/ — Single Page Applications, Virtual DOM, hooks d'état et Context API.</w:t>
      </w:r>
    </w:p>
    <w:p>
      <w:pPr>
        <w:spacing w:line="276" w:lineRule="auto" w:after="80"/>
        <w:jc w:val="both"/>
      </w:pPr>
      <w:r>
        <w:rPr>
          <w:rFonts w:ascii="Calibri" w:hAnsi="Calibri"/>
          <w:color w:val="2D3748"/>
          <w:sz w:val="20"/>
        </w:rPr>
        <w:t>[7] Documentation officielle de PostgreSQL : https://www.postgresql.org/docs/ — Gestion des contraintes relationnelles, transactions ACID et format JSONB.</w:t>
      </w:r>
    </w:p>
    <w:p>
      <w:pPr>
        <w:spacing w:line="276" w:lineRule="auto" w:after="80"/>
        <w:jc w:val="both"/>
      </w:pPr>
      <w:r>
        <w:rPr>
          <w:rFonts w:ascii="Calibri" w:hAnsi="Calibri"/>
          <w:color w:val="2D3748"/>
          <w:sz w:val="20"/>
        </w:rPr>
        <w:t>[8] Documentation de l'API Google Gemini : https://ai.google.dev/ — Intégration de modèles de langage, prompts structurés et function calling.</w:t>
      </w:r>
    </w:p>
    <w:p>
      <w:pPr>
        <w:spacing w:line="276" w:lineRule="auto" w:after="80"/>
        <w:jc w:val="both"/>
      </w:pPr>
      <w:r>
        <w:rPr>
          <w:rFonts w:ascii="Calibri" w:hAnsi="Calibri"/>
          <w:color w:val="2D3748"/>
          <w:sz w:val="20"/>
        </w:rPr>
        <w:t>[9] Documentation officielle de l'API Brevo : https://developers.brevo.com/ — Intégration d'emails transactionnels RESTful.</w:t>
      </w:r>
    </w:p>
    <w:p>
      <w:pPr>
        <w:spacing w:line="276" w:lineRule="auto" w:after="80"/>
        <w:jc w:val="both"/>
      </w:pPr>
      <w:r>
        <w:rPr>
          <w:rFonts w:ascii="Calibri" w:hAnsi="Calibri"/>
          <w:color w:val="2D3748"/>
          <w:sz w:val="20"/>
        </w:rPr>
        <w:t>[10] Guide de sécurité OWASP (Open Web Application Security Project) : https://owasp.org/www-project-top-ten/ — Recommandations de sécurité web, protection contre les injections, XSS, CSRF et failles d'authentification.</w:t>
      </w:r>
    </w:p>
    <w:p>
      <w:pPr>
        <w:spacing w:line="276" w:lineRule="auto" w:after="160"/>
        <w:jc w:val="both"/>
      </w:pPr>
      <w:r>
        <w:rPr>
          <w:rFonts w:ascii="Calibri" w:hAnsi="Calibri"/>
          <w:color w:val="2D3748"/>
          <w:sz w:val="20"/>
        </w:rPr>
        <w:t>[11] Documentation de python-docx : https://python-docx.readthedocs.io/ — Manipulation programmée et génération de documents Microsoft Word conformes OOXML.</w:t>
      </w:r>
    </w:p>
    <w:p>
      <w:r>
        <w:br w:type="page"/>
      </w:r>
    </w:p>
    <w:p>
      <w:pPr>
        <w:keepNext/>
        <w:spacing w:before="320" w:after="160"/>
      </w:pPr>
      <w:r>
        <w:rPr>
          <w:rFonts w:ascii="Calibri" w:hAnsi="Calibri"/>
          <w:b/>
          <w:color w:val="1B365D"/>
          <w:sz w:val="32"/>
        </w:rPr>
        <w:t>ANNEXES</w:t>
      </w:r>
    </w:p>
    <w:p>
      <w:pPr>
        <w:keepNext/>
        <w:spacing w:before="240" w:after="100"/>
      </w:pPr>
      <w:r>
        <w:rPr>
          <w:rFonts w:ascii="Calibri" w:hAnsi="Calibri"/>
          <w:b/>
          <w:color w:val="2B6CB0"/>
          <w:sz w:val="26"/>
        </w:rPr>
        <w:t>Annexe A : Matrice des Principaux Endpoints de l'API REST</w:t>
      </w:r>
    </w:p>
    <w:p>
      <w:pPr>
        <w:spacing w:line="276" w:lineRule="auto" w:after="120"/>
        <w:jc w:val="both"/>
      </w:pPr>
      <w:r>
        <w:rPr>
          <w:rFonts w:ascii="Calibri" w:hAnsi="Calibri"/>
          <w:color w:val="2D3748"/>
          <w:sz w:val="20"/>
        </w:rPr>
        <w:t>Le Tableau 8 recense les principaux points d'entrée de l'API REST développée sous FastAPI :</w:t>
      </w:r>
    </w:p>
    <w:tbl>
      <w:tblPr>
        <w:tblW w:type="auto" w:w="0"/>
        <w:jc w:val="center"/>
        <w:tblLayout w:type="fixed"/>
        <w:tblLook w:firstColumn="1" w:firstRow="1" w:lastColumn="0" w:lastRow="0" w:noHBand="0" w:noVBand="1" w:val="04A0"/>
      </w:tblPr>
      <w:tblGrid>
        <w:gridCol w:w="2293"/>
        <w:gridCol w:w="2293"/>
        <w:gridCol w:w="2293"/>
        <w:gridCol w:w="2293"/>
      </w:tblGrid>
      <w:tr>
        <w:tc>
          <w:tcPr>
            <w:tcW w:type="dxa" w:w="115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Méthode</w:t>
            </w:r>
          </w:p>
        </w:tc>
        <w:tc>
          <w:tcPr>
            <w:tcW w:type="dxa" w:w="3312"/>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Endpoint REST</w:t>
            </w:r>
          </w:p>
        </w:tc>
        <w:tc>
          <w:tcPr>
            <w:tcW w:type="dxa" w:w="1440"/>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Accès RBAC</w:t>
            </w:r>
          </w:p>
        </w:tc>
        <w:tc>
          <w:tcPr>
            <w:tcW w:type="dxa" w:w="3888"/>
            <w:shd w:fill="1B365D"/>
            <w:tcMar>
              <w:top w:w="90" w:type="dxa"/>
              <w:bottom w:w="90" w:type="dxa"/>
              <w:left w:w="110" w:type="dxa"/>
              <w:right w:w="11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color w:val="FFFFFF"/>
                <w:sz w:val="18"/>
              </w:rPr>
              <w:t>Rôle &amp; Description de l'Opération</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/api/auth/login</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Public</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Authentification utilisateur, émission Access Token &amp; Refresh Token</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/api/auth/refresh</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Public</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Renouvellement transparent de l'Access Token via Refresh Token</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/api/auth/logout</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Authentifié</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Révocation de la session courante et invalidation des tokens</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/api/employes</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Liste paginée des employés avec recherche multicritères</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/api/employes</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Création d'une nouvelle fiche collaborateur</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PUT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/api/employes/{id}</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Mise à jour des informations administratives d'un employé</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/api/contrats</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Liste de l'ensemble des contrats de travail avec filtres de statut</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/api/contrats</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Création et assemblage d'un contrat (sélection articles)</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PUT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/api/contrats/{id}/statut</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Transition contrôlée du statut d'un contrat (machine à états)</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/api/contrats/{id}/docx</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automatique et téléchargement du contrat Word</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/api/articles</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Consultation de la bibliothèque des clauses contractuelles</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/api/articles</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Ajout d'un nouvel article (texte standard ou tableau structuré)</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POST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/api/ai/articles/generate-structured</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Génération assistée de clause via Google Gemini</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/api/notifications</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Consultation des alertes RH d'échéance CDD dédupliquées</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/api/audit</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Admin / RH</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Consultation et filtrage du journal d'audit immuable</w:t>
            </w:r>
          </w:p>
        </w:tc>
      </w:tr>
      <w:tr>
        <w:tc>
          <w:tcPr>
            <w:tcW w:type="dxa" w:w="115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/api/espace-employe/mon-contrat</w:t>
            </w:r>
          </w:p>
        </w:tc>
        <w:tc>
          <w:tcPr>
            <w:tcW w:type="dxa" w:w="1440"/>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Employé</w:t>
            </w:r>
          </w:p>
        </w:tc>
        <w:tc>
          <w:tcPr>
            <w:tcW w:type="dxa" w:w="3888"/>
            <w:shd w:fill="F8FAFC"/>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Consultation en lecture seule du contrat actif du salarié</w:t>
            </w:r>
          </w:p>
        </w:tc>
      </w:tr>
      <w:tr>
        <w:tc>
          <w:tcPr>
            <w:tcW w:type="dxa" w:w="115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center"/>
            </w:pPr>
            <w:r>
              <w:rPr>
                <w:rFonts w:ascii="Calibri" w:hAnsi="Calibri"/>
                <w:color w:val="2D3748"/>
                <w:sz w:val="17"/>
              </w:rPr>
              <w:t>GET</w:t>
            </w:r>
          </w:p>
        </w:tc>
        <w:tc>
          <w:tcPr>
            <w:tcW w:type="dxa" w:w="3312"/>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/api/espace-employe/mon-contrat/docx</w:t>
            </w:r>
          </w:p>
        </w:tc>
        <w:tc>
          <w:tcPr>
            <w:tcW w:type="dxa" w:w="1440"/>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Employé</w:t>
            </w:r>
          </w:p>
        </w:tc>
        <w:tc>
          <w:tcPr>
            <w:tcW w:type="dxa" w:w="3888"/>
            <w:shd w:fill="FFFFFF"/>
            <w:tcMar>
              <w:top w:w="65" w:type="dxa"/>
              <w:bottom w:w="65" w:type="dxa"/>
              <w:left w:w="95" w:type="dxa"/>
              <w:right w:w="95" w:type="dxa"/>
            </w:tcMar>
            <w:tcBorders>
              <w:top w:val="single" w:sz="4" w:space="0" w:color="CBD5E0"/>
              <w:bottom w:val="single" w:sz="4" w:space="0" w:color="CBD5E0"/>
              <w:left w:val="single" w:sz="4" w:space="0" w:color="CBD5E0"/>
              <w:right w:val="single" w:sz="4" w:space="0" w:color="CBD5E0"/>
            </w:tcBorders>
          </w:tcPr>
          <w:p>
            <w:pPr>
              <w:spacing w:line="264" w:lineRule="auto" w:after="20"/>
              <w:jc w:val="left"/>
            </w:pPr>
            <w:r>
              <w:rPr>
                <w:rFonts w:ascii="Calibri" w:hAnsi="Calibri"/>
                <w:color w:val="2D3748"/>
                <w:sz w:val="17"/>
              </w:rPr>
              <w:t>Téléchargement par l'employé de son document contractuel</w:t>
            </w:r>
          </w:p>
        </w:tc>
      </w:tr>
    </w:tbl>
    <w:p>
      <w:pPr>
        <w:spacing w:after="100"/>
      </w:pPr>
    </w:p>
    <w:p>
      <w:pPr>
        <w:keepNext/>
        <w:spacing w:before="240" w:after="100"/>
      </w:pPr>
      <w:r>
        <w:rPr>
          <w:rFonts w:ascii="Calibri" w:hAnsi="Calibri"/>
          <w:b/>
          <w:color w:val="2B6CB0"/>
          <w:sz w:val="26"/>
        </w:rPr>
        <w:t>Annexe B : Variables d'Environnement et Configuration</w:t>
      </w:r>
    </w:p>
    <w:p>
      <w:pPr>
        <w:spacing w:line="276" w:lineRule="auto" w:after="80"/>
        <w:jc w:val="both"/>
      </w:pPr>
      <w:r>
        <w:rPr>
          <w:rFonts w:ascii="Calibri" w:hAnsi="Calibri"/>
          <w:color w:val="2D3748"/>
          <w:sz w:val="20"/>
        </w:rPr>
        <w:t>La configuration de l'application est externalisée selon le standard des Twelve-Factor Apps via un fichier .env sécurisé :</w:t>
      </w:r>
    </w:p>
    <w:p>
      <w:pPr>
        <w:pStyle w:val="ListBullet"/>
        <w:spacing w:line="276" w:lineRule="auto" w:after="50"/>
        <w:jc w:val="both"/>
      </w:pPr>
      <w:r>
        <w:rPr>
          <w:rFonts w:ascii="Calibri" w:hAnsi="Calibri"/>
          <w:b/>
          <w:color w:val="1B365D"/>
          <w:sz w:val="19"/>
        </w:rPr>
        <w:t xml:space="preserve">DATABASE_URL : </w:t>
      </w:r>
      <w:r>
        <w:rPr>
          <w:rFonts w:ascii="Calibri" w:hAnsi="Calibri"/>
          <w:color w:val="2D3748"/>
          <w:sz w:val="19"/>
        </w:rPr>
        <w:t>postgresql://user:password@localhost:5432/gestion_rh_db (Chaîne de connexion SQLAlchemy).</w:t>
      </w:r>
    </w:p>
    <w:p>
      <w:pPr>
        <w:pStyle w:val="ListBullet"/>
        <w:spacing w:line="276" w:lineRule="auto" w:after="50"/>
        <w:jc w:val="both"/>
      </w:pPr>
      <w:r>
        <w:rPr>
          <w:rFonts w:ascii="Calibri" w:hAnsi="Calibri"/>
          <w:b/>
          <w:color w:val="1B365D"/>
          <w:sz w:val="19"/>
        </w:rPr>
        <w:t xml:space="preserve">SECRET_KEY : </w:t>
      </w:r>
      <w:r>
        <w:rPr>
          <w:rFonts w:ascii="Calibri" w:hAnsi="Calibri"/>
          <w:color w:val="2D3748"/>
          <w:sz w:val="19"/>
        </w:rPr>
        <w:t>Clé secrète de 256 bits pour la signature cryptographique des jetons JWT.</w:t>
      </w:r>
    </w:p>
    <w:p>
      <w:pPr>
        <w:pStyle w:val="ListBullet"/>
        <w:spacing w:line="276" w:lineRule="auto" w:after="50"/>
        <w:jc w:val="both"/>
      </w:pPr>
      <w:r>
        <w:rPr>
          <w:rFonts w:ascii="Calibri" w:hAnsi="Calibri"/>
          <w:b/>
          <w:color w:val="1B365D"/>
          <w:sz w:val="19"/>
        </w:rPr>
        <w:t xml:space="preserve">ALGORITHM : </w:t>
      </w:r>
      <w:r>
        <w:rPr>
          <w:rFonts w:ascii="Calibri" w:hAnsi="Calibri"/>
          <w:color w:val="2D3748"/>
          <w:sz w:val="19"/>
        </w:rPr>
        <w:t>HS256 (Algorithme de signature symétrique).</w:t>
      </w:r>
    </w:p>
    <w:p>
      <w:pPr>
        <w:pStyle w:val="ListBullet"/>
        <w:spacing w:line="276" w:lineRule="auto" w:after="50"/>
        <w:jc w:val="both"/>
      </w:pPr>
      <w:r>
        <w:rPr>
          <w:rFonts w:ascii="Calibri" w:hAnsi="Calibri"/>
          <w:b/>
          <w:color w:val="1B365D"/>
          <w:sz w:val="19"/>
        </w:rPr>
        <w:t xml:space="preserve">ACCESS_TOKEN_EXPIRE_MINUTES : </w:t>
      </w:r>
      <w:r>
        <w:rPr>
          <w:rFonts w:ascii="Calibri" w:hAnsi="Calibri"/>
          <w:color w:val="2D3748"/>
          <w:sz w:val="19"/>
        </w:rPr>
        <w:t>30 minutes pour l'Access Token et 7 jours pour le Refresh Token.</w:t>
      </w:r>
    </w:p>
    <w:p>
      <w:pPr>
        <w:pStyle w:val="ListBullet"/>
        <w:spacing w:line="276" w:lineRule="auto" w:after="50"/>
        <w:jc w:val="both"/>
      </w:pPr>
      <w:r>
        <w:rPr>
          <w:rFonts w:ascii="Calibri" w:hAnsi="Calibri"/>
          <w:b/>
          <w:color w:val="1B365D"/>
          <w:sz w:val="19"/>
        </w:rPr>
        <w:t xml:space="preserve">GEMINI_API_KEY : </w:t>
      </w:r>
      <w:r>
        <w:rPr>
          <w:rFonts w:ascii="Calibri" w:hAnsi="Calibri"/>
          <w:color w:val="2D3748"/>
          <w:sz w:val="19"/>
        </w:rPr>
        <w:t>Clé d'authentification API pour le service d'Intelligence Artificielle Google Gemini.</w:t>
      </w:r>
    </w:p>
    <w:p>
      <w:pPr>
        <w:pStyle w:val="ListBullet"/>
        <w:spacing w:line="276" w:lineRule="auto" w:after="50"/>
        <w:jc w:val="both"/>
      </w:pPr>
      <w:r>
        <w:rPr>
          <w:rFonts w:ascii="Calibri" w:hAnsi="Calibri"/>
          <w:b/>
          <w:color w:val="1B365D"/>
          <w:sz w:val="19"/>
        </w:rPr>
        <w:t xml:space="preserve">BREVO_API_KEY : </w:t>
      </w:r>
      <w:r>
        <w:rPr>
          <w:rFonts w:ascii="Calibri" w:hAnsi="Calibri"/>
          <w:color w:val="2D3748"/>
          <w:sz w:val="19"/>
        </w:rPr>
        <w:t>Clé d'accès à l'API transactionnelle Brevo pour l'acheminement des notifications par email.</w:t>
      </w:r>
    </w:p>
    <w:p>
      <w:pPr>
        <w:pStyle w:val="ListBullet"/>
        <w:spacing w:line="276" w:lineRule="auto" w:after="50"/>
        <w:jc w:val="both"/>
      </w:pPr>
      <w:r>
        <w:rPr>
          <w:rFonts w:ascii="Calibri" w:hAnsi="Calibri"/>
          <w:b/>
          <w:color w:val="1B365D"/>
          <w:sz w:val="19"/>
        </w:rPr>
        <w:t xml:space="preserve">MAIL_FROM : </w:t>
      </w:r>
      <w:r>
        <w:rPr>
          <w:rFonts w:ascii="Calibri" w:hAnsi="Calibri"/>
          <w:color w:val="2D3748"/>
          <w:sz w:val="19"/>
        </w:rPr>
        <w:t>Adresse d'expédition officielle pour les emails RH (ex: rh@csidigital.com).</w:t>
      </w:r>
    </w:p>
    <w:p>
      <w:pPr>
        <w:spacing w:before="280"/>
      </w:pPr>
    </w:p>
    <w:p>
      <w:pPr>
        <w:jc w:val="center"/>
      </w:pPr>
      <w:r>
        <w:rPr>
          <w:rFonts w:ascii="Calibri" w:hAnsi="Calibri"/>
          <w:b/>
          <w:color w:val="718096"/>
          <w:sz w:val="20"/>
        </w:rPr>
        <w:t>— FIN DU DOCUMENT —</w:t>
      </w:r>
    </w:p>
    <w:sectPr w:rsidR="00FC693F" w:rsidRPr="0006063C" w:rsidSect="00034616">
      <w:headerReference w:type="default" r:id="rId9"/>
      <w:footerReference w:type="default" r:id="rId10"/>
      <w:pgSz w:w="11909" w:h="16834"/>
      <w:pgMar w:top="1296" w:right="1368" w:bottom="1296"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Application Web RH &amp; Contrats de Travail       |       Page </w:t>
    </w:r>
    <w:r>
      <w:rPr>
        <w:b/>
        <w:color w:val="1B365D"/>
        <w:sz w:val="17"/>
      </w:rPr>
      <w:fldChar w:fldCharType="begin"/>
      <w:instrText xml:space="preserve"> PAGE </w:instrText>
      <w:fldChar w:fldCharType="separate"/>
      <w:fldChar w:fldCharType="end"/>
    </w:r>
    <w:r>
      <w:rPr>
        <w:color w:val="718096"/>
        <w:sz w:val="17"/>
      </w:rPr>
      <w:t xml:space="preserve"> / </w:t>
    </w:r>
    <w:r>
      <w:rPr>
        <w:color w:val="718096"/>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Rapport de Stage — Sahli Yakine Eddine | ESPRIT — CSI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