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F3864"/>
          <w:spacing w:val="20"/>
          <w:sz w:val="36"/>
          <w:szCs w:val="36"/>
        </w:rPr>
        <w:t xml:space="preserve">KAKRABA INTERNATIONAL RESEARCH LAB</w:t>
      </w:r>
    </w:p>
    <w:p>
      <w:pPr>
        <w:spacing w:after="80"/>
        <w:jc w:val="center"/>
      </w:pPr>
      <w:r>
        <w:rPr>
          <w:rFonts w:ascii="Cambria" w:cs="Cambria" w:eastAsia="Cambria" w:hAnsi="Cambria"/>
          <w:i/>
          <w:iCs/>
          <w:color w:val="595959"/>
          <w:sz w:val="21"/>
          <w:szCs w:val="21"/>
        </w:rPr>
        <w:t xml:space="preserve">Tulane University  ·  New Orleans, Louisiana</w:t>
      </w:r>
    </w:p>
    <w:p>
      <w:pPr>
        <w:pBdr>
          <w:bottom w:val="single" w:color="1F3864" w:sz="12" w:space="6"/>
        </w:pBdr>
        <w:spacing w:after="240"/>
        <w:jc w:val="center"/>
      </w:pPr>
      <w:r>
        <w:rPr>
          <w:rFonts w:ascii="Cambria" w:cs="Cambria" w:eastAsia="Cambria" w:hAnsi="Cambria"/>
          <w:color w:val="2E5496"/>
          <w:sz w:val="22"/>
          <w:szCs w:val="22"/>
        </w:rPr>
        <w:t xml:space="preserve">Rigorous, reproducible, and accountable AI for health</w:t>
      </w:r>
    </w:p>
    <w:p>
      <w:pPr>
        <w:keepNext/>
        <w:pBdr>
          <w:bottom w:val="single" w:color="1F3864" w:sz="8" w:space="2"/>
        </w:pBdr>
        <w:spacing w:after="120" w:before="320"/>
      </w:pPr>
      <w:r>
        <w:rPr>
          <w:rFonts w:ascii="Cambria" w:cs="Cambria" w:eastAsia="Cambria" w:hAnsi="Cambria"/>
          <w:b/>
          <w:bCs/>
          <w:color w:val="1F3864"/>
          <w:spacing w:val="10"/>
          <w:sz w:val="23"/>
          <w:szCs w:val="23"/>
        </w:rPr>
        <w:t xml:space="preserve">ABOUT THE LAB</w:t>
      </w:r>
    </w:p>
    <w:p>
      <w:pPr>
        <w:spacing w:after="140" w:line="276"/>
        <w:jc w:val="both"/>
      </w:pPr>
      <w:r>
        <w:rPr>
          <w:rFonts w:ascii="Cambria" w:cs="Cambria" w:eastAsia="Cambria" w:hAnsi="Cambria"/>
        </w:rPr>
        <w:t xml:space="preserve">The Kakraba International Research Lab builds artificial intelligence that is rigorous, reproducible, and accountable to the people it serves. Led by Dr. Samuel Kakraba, Assistant Professor of Biostatistics and Data Science at Tulane University's Celia Scott Weatherhead School of Public Health and Tropical Medicine, the lab works where data science, drug discovery, and population health meet. Its question is simple and demanding: how do we turn machine learning into tools that improve health outcomes, and how do we make sure those tools deserve the trust placed in them?</w:t>
      </w:r>
    </w:p>
    <w:p>
      <w:pPr>
        <w:keepNext/>
        <w:pBdr>
          <w:bottom w:val="single" w:color="1F3864" w:sz="8" w:space="2"/>
        </w:pBdr>
        <w:spacing w:after="120" w:before="320"/>
      </w:pPr>
      <w:r>
        <w:rPr>
          <w:rFonts w:ascii="Cambria" w:cs="Cambria" w:eastAsia="Cambria" w:hAnsi="Cambria"/>
          <w:b/>
          <w:bCs/>
          <w:color w:val="1F3864"/>
          <w:spacing w:val="10"/>
          <w:sz w:val="23"/>
          <w:szCs w:val="23"/>
        </w:rPr>
        <w:t xml:space="preserve">RESEARCH AREAS</w:t>
      </w:r>
    </w:p>
    <w:p>
      <w:pPr>
        <w:spacing w:after="140" w:line="276"/>
        <w:jc w:val="both"/>
      </w:pPr>
      <w:r>
        <w:rPr>
          <w:rFonts w:ascii="Cambria" w:cs="Cambria" w:eastAsia="Cambria" w:hAnsi="Cambria"/>
        </w:rPr>
        <w:t xml:space="preserve">The lab's work spans four connected areas. In </w:t>
      </w:r>
      <w:r>
        <w:rPr>
          <w:rFonts w:ascii="Cambria" w:cs="Cambria" w:eastAsia="Cambria" w:hAnsi="Cambria"/>
          <w:b/>
          <w:bCs/>
        </w:rPr>
        <w:t xml:space="preserve">AI-driven drug discovery</w:t>
      </w:r>
      <w:r>
        <w:rPr>
          <w:rFonts w:ascii="Cambria" w:cs="Cambria" w:eastAsia="Cambria" w:hAnsi="Cambria"/>
        </w:rPr>
        <w:t xml:space="preserve">, the team uses machine learning, QSAR modeling, and molecular simulation to find compounds that target protein aggregation in Alzheimer's disease and other neurodegenerative conditions, as well as candidates for leukemia and viral infections. This work has moved beyond publication into intellectual property, with three patent applications covering new therapeutic compounds for neurodegeneration, age-related disease, and cancer. In </w:t>
      </w:r>
      <w:r>
        <w:rPr>
          <w:rFonts w:ascii="Cambria" w:cs="Cambria" w:eastAsia="Cambria" w:hAnsi="Cambria"/>
          <w:b/>
          <w:bCs/>
        </w:rPr>
        <w:t xml:space="preserve">graph-theoretic and computational biology</w:t>
      </w:r>
      <w:r>
        <w:rPr>
          <w:rFonts w:ascii="Cambria" w:cs="Cambria" w:eastAsia="Cambria" w:hAnsi="Cambria"/>
        </w:rPr>
        <w:t xml:space="preserve">, the lab continues a decade-long line of work that models how single point mutations reshape protein structure and function, from cystic fibrosis to SARS-CoV-2 and hepatitis B. In </w:t>
      </w:r>
      <w:r>
        <w:rPr>
          <w:rFonts w:ascii="Cambria" w:cs="Cambria" w:eastAsia="Cambria" w:hAnsi="Cambria"/>
          <w:b/>
          <w:bCs/>
        </w:rPr>
        <w:t xml:space="preserve">clinical and public health prediction</w:t>
      </w:r>
      <w:r>
        <w:rPr>
          <w:rFonts w:ascii="Cambria" w:cs="Cambria" w:eastAsia="Cambria" w:hAnsi="Cambria"/>
        </w:rPr>
        <w:t xml:space="preserve">, it builds interpretable models for heart failure mortality, cancer recurrence and early detection, and population health surveillance. One example is SMART-pred, a multi-target AI platform supported by a Tulane CAIDS AI Seed Grant. And in </w:t>
      </w:r>
      <w:r>
        <w:rPr>
          <w:rFonts w:ascii="Cambria" w:cs="Cambria" w:eastAsia="Cambria" w:hAnsi="Cambria"/>
          <w:b/>
          <w:bCs/>
        </w:rPr>
        <w:t xml:space="preserve">responsible AI and governance</w:t>
      </w:r>
      <w:r>
        <w:rPr>
          <w:rFonts w:ascii="Cambria" w:cs="Cambria" w:eastAsia="Cambria" w:hAnsi="Cambria"/>
        </w:rPr>
        <w:t xml:space="preserve">, the lab asks hard questions about how AI should be evaluated, deployed, and overseen in public health, aging, and social care.</w:t>
      </w:r>
    </w:p>
    <w:p>
      <w:pPr>
        <w:spacing w:after="140" w:line="276"/>
        <w:jc w:val="both"/>
      </w:pPr>
      <w:r>
        <w:rPr>
          <w:rFonts w:ascii="Cambria" w:cs="Cambria" w:eastAsia="Cambria" w:hAnsi="Cambria"/>
        </w:rPr>
        <w:t xml:space="preserve">Reproducibility is central to the lab's practice. The team has released more than seven fully documented, publicly available machine learning workflows so others can check, reuse, and extend its methods.</w:t>
      </w:r>
    </w:p>
    <w:p>
      <w:pPr>
        <w:keepNext/>
        <w:pBdr>
          <w:bottom w:val="single" w:color="1F3864" w:sz="8" w:space="2"/>
        </w:pBdr>
        <w:spacing w:after="120" w:before="320"/>
      </w:pPr>
      <w:r>
        <w:rPr>
          <w:rFonts w:ascii="Cambria" w:cs="Cambria" w:eastAsia="Cambria" w:hAnsi="Cambria"/>
          <w:b/>
          <w:bCs/>
          <w:color w:val="1F3864"/>
          <w:spacing w:val="10"/>
          <w:sz w:val="23"/>
          <w:szCs w:val="23"/>
        </w:rPr>
        <w:t xml:space="preserve">PATENTS AND INVENTIONS</w:t>
      </w:r>
    </w:p>
    <w:p>
      <w:pPr>
        <w:pStyle w:val="ListParagraph"/>
        <w:keepLines/>
        <w:numPr>
          <w:ilvl w:val="0"/>
          <w:numId w:val="2"/>
        </w:numPr>
        <w:spacing w:after="100" w:line="264"/>
      </w:pPr>
      <w:r>
        <w:rPr>
          <w:rFonts w:ascii="Cambria" w:cs="Cambria" w:eastAsia="Cambria" w:hAnsi="Cambria"/>
          <w:b/>
          <w:bCs/>
        </w:rPr>
        <w:t xml:space="preserve">Novel Quinoline Analogs as Multi-Target Inhibitors of Acetylcholinesterase and Protein Aggregation in Alzheimer's Disease Therapy.</w:t>
      </w:r>
      <w:r>
        <w:rPr>
          <w:rFonts w:ascii="Cambria" w:cs="Cambria" w:eastAsia="Cambria" w:hAnsi="Cambria"/>
        </w:rPr>
        <w:t xml:space="preserve"> Kakraba, S., et al. Submitted to Tulane University's Office of Intellectual Property Management (Submission ID OI2026-00561), January 14, 2026. Dr. Kakraba is the lead inventor.</w:t>
      </w:r>
    </w:p>
    <w:p>
      <w:pPr>
        <w:pStyle w:val="ListParagraph"/>
        <w:keepLines/>
        <w:numPr>
          <w:ilvl w:val="0"/>
          <w:numId w:val="2"/>
        </w:numPr>
        <w:spacing w:after="100" w:line="264"/>
      </w:pPr>
      <w:r>
        <w:rPr>
          <w:rFonts w:ascii="Cambria" w:cs="Cambria" w:eastAsia="Cambria" w:hAnsi="Cambria"/>
          <w:b/>
          <w:bCs/>
        </w:rPr>
        <w:t xml:space="preserve">Novel TDZD Analogs as Agents that Delay, Prevent, or Reverse Age-Associated Diseases and as Anti-Cancer and Antileukemic Agents.</w:t>
      </w:r>
      <w:r>
        <w:rPr>
          <w:rFonts w:ascii="Cambria" w:cs="Cambria" w:eastAsia="Cambria" w:hAnsi="Cambria"/>
        </w:rPr>
        <w:t xml:space="preserve"> Bowroju, S.K., Crooks, P., Penthala, N., Ayyadevara, S., Guzman, M., Shmookler Reis, R.J., Lopes, E., and Kakraba, S. U.S. Patent Application No. US20230125667A1.</w:t>
      </w:r>
    </w:p>
    <w:p>
      <w:pPr>
        <w:pStyle w:val="ListParagraph"/>
        <w:keepLines/>
        <w:numPr>
          <w:ilvl w:val="0"/>
          <w:numId w:val="2"/>
        </w:numPr>
        <w:spacing w:after="100" w:line="264"/>
      </w:pPr>
      <w:r>
        <w:rPr>
          <w:rFonts w:ascii="Cambria" w:cs="Cambria" w:eastAsia="Cambria" w:hAnsi="Cambria"/>
          <w:b/>
          <w:bCs/>
        </w:rPr>
        <w:t xml:space="preserve">International Patent Application No. PCT/US2021/017970.</w:t>
      </w:r>
      <w:r>
        <w:rPr>
          <w:rFonts w:ascii="Cambria" w:cs="Cambria" w:eastAsia="Cambria" w:hAnsi="Cambria"/>
        </w:rPr>
        <w:t xml:space="preserve"> Bowroju, K.S., Crooks, P., Penthala, N., Ayyadevara, S., Guzman, M., Shmookler Reis, R.J., Lopes, E., and Kakraba, S. (2021).</w:t>
      </w:r>
    </w:p>
    <w:p>
      <w:pPr>
        <w:keepNext/>
        <w:pBdr>
          <w:bottom w:val="single" w:color="1F3864" w:sz="8" w:space="2"/>
        </w:pBdr>
        <w:spacing w:after="120" w:before="320"/>
      </w:pPr>
      <w:r>
        <w:rPr>
          <w:rFonts w:ascii="Cambria" w:cs="Cambria" w:eastAsia="Cambria" w:hAnsi="Cambria"/>
          <w:b/>
          <w:bCs/>
          <w:color w:val="1F3864"/>
          <w:spacing w:val="10"/>
          <w:sz w:val="23"/>
          <w:szCs w:val="23"/>
        </w:rPr>
        <w:t xml:space="preserve">PUBLISHED WORK</w:t>
      </w:r>
    </w:p>
    <w:p>
      <w:pPr>
        <w:spacing w:after="140" w:line="276"/>
        <w:jc w:val="both"/>
      </w:pPr>
      <w:r>
        <w:rPr>
          <w:rFonts w:ascii="Cambria" w:cs="Cambria" w:eastAsia="Cambria" w:hAnsi="Cambria"/>
        </w:rPr>
        <w:t xml:space="preserve">The lab's peer-reviewed research appears in journals including </w:t>
      </w:r>
      <w:r>
        <w:rPr>
          <w:rFonts w:ascii="Cambria" w:cs="Cambria" w:eastAsia="Cambria" w:hAnsi="Cambria"/>
          <w:i/>
          <w:iCs/>
        </w:rPr>
        <w:t xml:space="preserve">Scientific Reports</w:t>
      </w:r>
      <w:r>
        <w:rPr>
          <w:rFonts w:ascii="Cambria" w:cs="Cambria" w:eastAsia="Cambria" w:hAnsi="Cambria"/>
        </w:rPr>
        <w:t xml:space="preserve">, </w:t>
      </w:r>
      <w:r>
        <w:rPr>
          <w:rFonts w:ascii="Cambria" w:cs="Cambria" w:eastAsia="Cambria" w:hAnsi="Cambria"/>
          <w:i/>
          <w:iCs/>
        </w:rPr>
        <w:t xml:space="preserve">JMIR AI</w:t>
      </w:r>
      <w:r>
        <w:rPr>
          <w:rFonts w:ascii="Cambria" w:cs="Cambria" w:eastAsia="Cambria" w:hAnsi="Cambria"/>
        </w:rPr>
        <w:t xml:space="preserve">, </w:t>
      </w:r>
      <w:r>
        <w:rPr>
          <w:rFonts w:ascii="Cambria" w:cs="Cambria" w:eastAsia="Cambria" w:hAnsi="Cambria"/>
          <w:i/>
          <w:iCs/>
        </w:rPr>
        <w:t xml:space="preserve">JMIR Aging</w:t>
      </w:r>
      <w:r>
        <w:rPr>
          <w:rFonts w:ascii="Cambria" w:cs="Cambria" w:eastAsia="Cambria" w:hAnsi="Cambria"/>
        </w:rPr>
        <w:t xml:space="preserve">, </w:t>
      </w:r>
      <w:r>
        <w:rPr>
          <w:rFonts w:ascii="Cambria" w:cs="Cambria" w:eastAsia="Cambria" w:hAnsi="Cambria"/>
          <w:i/>
          <w:iCs/>
        </w:rPr>
        <w:t xml:space="preserve">iScience</w:t>
      </w:r>
      <w:r>
        <w:rPr>
          <w:rFonts w:ascii="Cambria" w:cs="Cambria" w:eastAsia="Cambria" w:hAnsi="Cambria"/>
        </w:rPr>
        <w:t xml:space="preserve">, </w:t>
      </w:r>
      <w:r>
        <w:rPr>
          <w:rFonts w:ascii="Cambria" w:cs="Cambria" w:eastAsia="Cambria" w:hAnsi="Cambria"/>
          <w:i/>
          <w:iCs/>
        </w:rPr>
        <w:t xml:space="preserve">Frontiers in Public Health</w:t>
      </w:r>
      <w:r>
        <w:rPr>
          <w:rFonts w:ascii="Cambria" w:cs="Cambria" w:eastAsia="Cambria" w:hAnsi="Cambria"/>
        </w:rPr>
        <w:t xml:space="preserve">, </w:t>
      </w:r>
      <w:r>
        <w:rPr>
          <w:rFonts w:ascii="Cambria" w:cs="Cambria" w:eastAsia="Cambria" w:hAnsi="Cambria"/>
          <w:i/>
          <w:iCs/>
        </w:rPr>
        <w:t xml:space="preserve">Frontiers in Molecular Neuroscience</w:t>
      </w:r>
      <w:r>
        <w:rPr>
          <w:rFonts w:ascii="Cambria" w:cs="Cambria" w:eastAsia="Cambria" w:hAnsi="Cambria"/>
        </w:rPr>
        <w:t xml:space="preserve">, </w:t>
      </w:r>
      <w:r>
        <w:rPr>
          <w:rFonts w:ascii="Cambria" w:cs="Cambria" w:eastAsia="Cambria" w:hAnsi="Cambria"/>
          <w:i/>
          <w:iCs/>
        </w:rPr>
        <w:t xml:space="preserve">Pharmaceuticals</w:t>
      </w:r>
      <w:r>
        <w:rPr>
          <w:rFonts w:ascii="Cambria" w:cs="Cambria" w:eastAsia="Cambria" w:hAnsi="Cambria"/>
        </w:rPr>
        <w:t xml:space="preserve">, and </w:t>
      </w:r>
      <w:r>
        <w:rPr>
          <w:rFonts w:ascii="Cambria" w:cs="Cambria" w:eastAsia="Cambria" w:hAnsi="Cambria"/>
          <w:i/>
          <w:iCs/>
        </w:rPr>
        <w:t xml:space="preserve">Antioxidants &amp; Redox Signaling</w:t>
      </w:r>
      <w:r>
        <w:rPr>
          <w:rFonts w:ascii="Cambria" w:cs="Cambria" w:eastAsia="Cambria" w:hAnsi="Cambria"/>
        </w:rPr>
        <w:t xml:space="preserve">. Many of these papers are first-authored by lab trainees and mentored by Dr. Kakraba as senior and corresponding author.</w:t>
      </w:r>
    </w:p>
    <w:p>
      <w:pPr>
        <w:keepNext/>
        <w:spacing w:after="80" w:before="200"/>
      </w:pPr>
      <w:r>
        <w:rPr>
          <w:rFonts w:ascii="Cambria" w:cs="Cambria" w:eastAsia="Cambria" w:hAnsi="Cambria"/>
          <w:b/>
          <w:bCs/>
          <w:i/>
          <w:iCs/>
          <w:color w:val="2E5496"/>
          <w:sz w:val="21"/>
          <w:szCs w:val="21"/>
        </w:rPr>
        <w:t xml:space="preserve">AI-Driven Drug Discovery and Neurodegeneration</w:t>
      </w:r>
    </w:p>
    <w:p>
      <w:pPr>
        <w:pStyle w:val="ListParagraph"/>
        <w:keepLines/>
        <w:numPr>
          <w:ilvl w:val="0"/>
          <w:numId w:val="2"/>
        </w:numPr>
        <w:spacing w:after="90" w:line="252"/>
      </w:pPr>
      <w:r>
        <w:rPr>
          <w:rFonts w:ascii="Cambria" w:cs="Cambria" w:eastAsia="Cambria" w:hAnsi="Cambria"/>
          <w:b/>
          <w:bCs/>
          <w:sz w:val="20"/>
          <w:szCs w:val="20"/>
        </w:rPr>
        <w:t xml:space="preserve">Kakraba S</w:t>
      </w:r>
      <w:r>
        <w:rPr>
          <w:rFonts w:ascii="Cambria" w:cs="Cambria" w:eastAsia="Cambria" w:hAnsi="Cambria"/>
          <w:sz w:val="20"/>
          <w:szCs w:val="20"/>
        </w:rPr>
        <w:t xml:space="preserve">, Agyemang EF, Shmookler Reis RJ (2026). Accelerating discovery of leukemia inhibitors using AI-driven quantitative structure–activity relationship: algorithm development and validation. </w:t>
      </w:r>
      <w:r>
        <w:rPr>
          <w:rFonts w:ascii="Cambria" w:cs="Cambria" w:eastAsia="Cambria" w:hAnsi="Cambria"/>
          <w:i/>
          <w:iCs/>
          <w:sz w:val="20"/>
          <w:szCs w:val="20"/>
        </w:rPr>
        <w:t xml:space="preserve">JMIR AI</w:t>
      </w:r>
      <w:r>
        <w:rPr>
          <w:rFonts w:ascii="Cambria" w:cs="Cambria" w:eastAsia="Cambria" w:hAnsi="Cambria"/>
          <w:sz w:val="20"/>
          <w:szCs w:val="20"/>
        </w:rPr>
        <w:t xml:space="preserve">, 5:e81552. </w:t>
      </w:r>
      <w:hyperlink w:history="1" r:id="rIdjmhntlvs-pfyayot4rjsb">
        <w:r>
          <w:rPr>
            <w:rFonts w:ascii="Cambria" w:cs="Cambria" w:eastAsia="Cambria" w:hAnsi="Cambria"/>
            <w:color w:val="2E5496"/>
            <w:sz w:val="19"/>
            <w:szCs w:val="19"/>
          </w:rPr>
          <w:t xml:space="preserve">https://doi.org/10.2196/81552</w:t>
        </w:r>
      </w:hyperlink>
    </w:p>
    <w:p>
      <w:pPr>
        <w:pStyle w:val="ListParagraph"/>
        <w:keepLines/>
        <w:numPr>
          <w:ilvl w:val="0"/>
          <w:numId w:val="2"/>
        </w:numPr>
        <w:spacing w:after="90" w:line="252"/>
      </w:pPr>
      <w:r>
        <w:rPr>
          <w:rFonts w:ascii="Cambria" w:cs="Cambria" w:eastAsia="Cambria" w:hAnsi="Cambria"/>
          <w:b/>
          <w:bCs/>
          <w:sz w:val="20"/>
          <w:szCs w:val="20"/>
        </w:rPr>
        <w:t xml:space="preserve">Kakraba S</w:t>
      </w:r>
      <w:r>
        <w:rPr>
          <w:rFonts w:ascii="Cambria" w:cs="Cambria" w:eastAsia="Cambria" w:hAnsi="Cambria"/>
          <w:sz w:val="20"/>
          <w:szCs w:val="20"/>
        </w:rPr>
        <w:t xml:space="preserve">, Ayyadevara S, Yadem CA, Abraham KE, Compadre CM, Shmookler Reis RJ (2025). Machine learning–enhanced quantitative structure–activity relationship modeling for DNA polymerase inhibitor discovery: algorithm development and validation. </w:t>
      </w:r>
      <w:r>
        <w:rPr>
          <w:rFonts w:ascii="Cambria" w:cs="Cambria" w:eastAsia="Cambria" w:hAnsi="Cambria"/>
          <w:i/>
          <w:iCs/>
          <w:sz w:val="20"/>
          <w:szCs w:val="20"/>
        </w:rPr>
        <w:t xml:space="preserve">JMIR AI</w:t>
      </w:r>
      <w:r>
        <w:rPr>
          <w:rFonts w:ascii="Cambria" w:cs="Cambria" w:eastAsia="Cambria" w:hAnsi="Cambria"/>
          <w:sz w:val="20"/>
          <w:szCs w:val="20"/>
        </w:rPr>
        <w:t xml:space="preserve">, 4:e77890. </w:t>
      </w:r>
      <w:hyperlink w:history="1" r:id="rIdljjla3mluko_5i9npiwyp">
        <w:r>
          <w:rPr>
            <w:rFonts w:ascii="Cambria" w:cs="Cambria" w:eastAsia="Cambria" w:hAnsi="Cambria"/>
            <w:color w:val="2E5496"/>
            <w:sz w:val="19"/>
            <w:szCs w:val="19"/>
          </w:rPr>
          <w:t xml:space="preserve">https://doi.org/10.2196/77890</w:t>
        </w:r>
      </w:hyperlink>
    </w:p>
    <w:p>
      <w:pPr>
        <w:pStyle w:val="ListParagraph"/>
        <w:keepLines/>
        <w:numPr>
          <w:ilvl w:val="0"/>
          <w:numId w:val="2"/>
        </w:numPr>
        <w:spacing w:after="90" w:line="252"/>
      </w:pPr>
      <w:r>
        <w:rPr>
          <w:rFonts w:ascii="Cambria" w:cs="Cambria" w:eastAsia="Cambria" w:hAnsi="Cambria"/>
          <w:b/>
          <w:bCs/>
          <w:sz w:val="20"/>
          <w:szCs w:val="20"/>
        </w:rPr>
        <w:t xml:space="preserve">Kakraba S</w:t>
      </w:r>
      <w:r>
        <w:rPr>
          <w:rFonts w:ascii="Cambria" w:cs="Cambria" w:eastAsia="Cambria" w:hAnsi="Cambria"/>
          <w:sz w:val="20"/>
          <w:szCs w:val="20"/>
        </w:rPr>
        <w:t xml:space="preserve">, Ayyadevara S, Mainali N, et al. (2023). Thiadiazolidinone (TDZD) analogs inhibit aggregation-mediated pathology in diverse neurodegeneration models, and extend </w:t>
      </w:r>
      <w:r>
        <w:rPr>
          <w:rFonts w:ascii="Cambria" w:cs="Cambria" w:eastAsia="Cambria" w:hAnsi="Cambria"/>
          <w:i/>
          <w:iCs/>
          <w:sz w:val="20"/>
          <w:szCs w:val="20"/>
        </w:rPr>
        <w:t xml:space="preserve">C. elegans</w:t>
      </w:r>
      <w:r>
        <w:rPr>
          <w:rFonts w:ascii="Cambria" w:cs="Cambria" w:eastAsia="Cambria" w:hAnsi="Cambria"/>
          <w:sz w:val="20"/>
          <w:szCs w:val="20"/>
        </w:rPr>
        <w:t xml:space="preserve"> life- and healthspan. </w:t>
      </w:r>
      <w:r>
        <w:rPr>
          <w:rFonts w:ascii="Cambria" w:cs="Cambria" w:eastAsia="Cambria" w:hAnsi="Cambria"/>
          <w:i/>
          <w:iCs/>
          <w:sz w:val="20"/>
          <w:szCs w:val="20"/>
        </w:rPr>
        <w:t xml:space="preserve">Pharmaceuticals</w:t>
      </w:r>
      <w:r>
        <w:rPr>
          <w:rFonts w:ascii="Cambria" w:cs="Cambria" w:eastAsia="Cambria" w:hAnsi="Cambria"/>
          <w:sz w:val="20"/>
          <w:szCs w:val="20"/>
        </w:rPr>
        <w:t xml:space="preserve">, 16(10), 1498. </w:t>
      </w:r>
      <w:hyperlink w:history="1" r:id="rIdj77rqdejmp4ar3mpvgmx8">
        <w:r>
          <w:rPr>
            <w:rFonts w:ascii="Cambria" w:cs="Cambria" w:eastAsia="Cambria" w:hAnsi="Cambria"/>
            <w:color w:val="2E5496"/>
            <w:sz w:val="19"/>
            <w:szCs w:val="19"/>
          </w:rPr>
          <w:t xml:space="preserve">https://doi.org/10.3390/ph16101498</w:t>
        </w:r>
      </w:hyperlink>
    </w:p>
    <w:p>
      <w:pPr>
        <w:pStyle w:val="ListParagraph"/>
        <w:keepLines/>
        <w:numPr>
          <w:ilvl w:val="0"/>
          <w:numId w:val="2"/>
        </w:numPr>
        <w:spacing w:after="90" w:line="252"/>
      </w:pPr>
      <w:r>
        <w:rPr>
          <w:rFonts w:ascii="Cambria" w:cs="Cambria" w:eastAsia="Cambria" w:hAnsi="Cambria"/>
          <w:sz w:val="20"/>
          <w:szCs w:val="20"/>
        </w:rPr>
        <w:t xml:space="preserve">Bowroju SK, Mainali N, Ayyadevara S, Penthala NR, Krishnamachari S, </w:t>
      </w:r>
      <w:r>
        <w:rPr>
          <w:rFonts w:ascii="Cambria" w:cs="Cambria" w:eastAsia="Cambria" w:hAnsi="Cambria"/>
          <w:b/>
          <w:bCs/>
          <w:sz w:val="20"/>
          <w:szCs w:val="20"/>
        </w:rPr>
        <w:t xml:space="preserve">Kakraba S</w:t>
      </w:r>
      <w:r>
        <w:rPr>
          <w:rFonts w:ascii="Cambria" w:cs="Cambria" w:eastAsia="Cambria" w:hAnsi="Cambria"/>
          <w:sz w:val="20"/>
          <w:szCs w:val="20"/>
        </w:rPr>
        <w:t xml:space="preserve">, Reis RJ, Crooks PA (2020). Design and synthesis of novel hybrid 8-hydroxy quinoline–indole derivatives as inhibitors of Aβ self-aggregation and metal chelation-induced Aβ aggregation. </w:t>
      </w:r>
      <w:r>
        <w:rPr>
          <w:rFonts w:ascii="Cambria" w:cs="Cambria" w:eastAsia="Cambria" w:hAnsi="Cambria"/>
          <w:i/>
          <w:iCs/>
          <w:sz w:val="20"/>
          <w:szCs w:val="20"/>
        </w:rPr>
        <w:t xml:space="preserve">Molecules</w:t>
      </w:r>
      <w:r>
        <w:rPr>
          <w:rFonts w:ascii="Cambria" w:cs="Cambria" w:eastAsia="Cambria" w:hAnsi="Cambria"/>
          <w:sz w:val="20"/>
          <w:szCs w:val="20"/>
        </w:rPr>
        <w:t xml:space="preserve">, 25(16), 3610. </w:t>
      </w:r>
      <w:hyperlink w:history="1" r:id="rIdj0gnotdfh36g28wechudp">
        <w:r>
          <w:rPr>
            <w:rFonts w:ascii="Cambria" w:cs="Cambria" w:eastAsia="Cambria" w:hAnsi="Cambria"/>
            <w:color w:val="2E5496"/>
            <w:sz w:val="19"/>
            <w:szCs w:val="19"/>
          </w:rPr>
          <w:t xml:space="preserve">https://doi.org/10.3390/molecules25163610</w:t>
        </w:r>
      </w:hyperlink>
    </w:p>
    <w:p>
      <w:pPr>
        <w:pStyle w:val="ListParagraph"/>
        <w:keepLines/>
        <w:numPr>
          <w:ilvl w:val="0"/>
          <w:numId w:val="2"/>
        </w:numPr>
        <w:spacing w:after="90" w:line="252"/>
      </w:pPr>
      <w:r>
        <w:rPr>
          <w:rFonts w:ascii="Cambria" w:cs="Cambria" w:eastAsia="Cambria" w:hAnsi="Cambria"/>
          <w:b/>
          <w:bCs/>
          <w:sz w:val="20"/>
          <w:szCs w:val="20"/>
        </w:rPr>
        <w:t xml:space="preserve">Kakraba S</w:t>
      </w:r>
      <w:r>
        <w:rPr>
          <w:rFonts w:ascii="Cambria" w:cs="Cambria" w:eastAsia="Cambria" w:hAnsi="Cambria"/>
          <w:sz w:val="20"/>
          <w:szCs w:val="20"/>
        </w:rPr>
        <w:t xml:space="preserve">, Ayyadevara S, Penthala NR, et al. (2019). A novel microtubule-binding drug attenuates and reverses protein aggregation in animal models of Alzheimer's disease. </w:t>
      </w:r>
      <w:r>
        <w:rPr>
          <w:rFonts w:ascii="Cambria" w:cs="Cambria" w:eastAsia="Cambria" w:hAnsi="Cambria"/>
          <w:i/>
          <w:iCs/>
          <w:sz w:val="20"/>
          <w:szCs w:val="20"/>
        </w:rPr>
        <w:t xml:space="preserve">Frontiers in Molecular Neuroscience</w:t>
      </w:r>
      <w:r>
        <w:rPr>
          <w:rFonts w:ascii="Cambria" w:cs="Cambria" w:eastAsia="Cambria" w:hAnsi="Cambria"/>
          <w:sz w:val="20"/>
          <w:szCs w:val="20"/>
        </w:rPr>
        <w:t xml:space="preserve">, 12, 310. </w:t>
      </w:r>
      <w:hyperlink w:history="1" r:id="rIdivfb_j2jz3q5hxapjoytk">
        <w:r>
          <w:rPr>
            <w:rFonts w:ascii="Cambria" w:cs="Cambria" w:eastAsia="Cambria" w:hAnsi="Cambria"/>
            <w:color w:val="2E5496"/>
            <w:sz w:val="19"/>
            <w:szCs w:val="19"/>
          </w:rPr>
          <w:t xml:space="preserve">https://doi.org/10.3389/fnmol.2019.00310</w:t>
        </w:r>
      </w:hyperlink>
    </w:p>
    <w:p>
      <w:pPr>
        <w:pStyle w:val="ListParagraph"/>
        <w:keepLines/>
        <w:numPr>
          <w:ilvl w:val="0"/>
          <w:numId w:val="2"/>
        </w:numPr>
        <w:spacing w:after="90" w:line="252"/>
      </w:pPr>
      <w:r>
        <w:rPr>
          <w:rFonts w:ascii="Cambria" w:cs="Cambria" w:eastAsia="Cambria" w:hAnsi="Cambria"/>
          <w:sz w:val="20"/>
          <w:szCs w:val="20"/>
        </w:rPr>
        <w:t xml:space="preserve">Balasubramaniam M, Ayyadevara S, </w:t>
      </w:r>
      <w:r>
        <w:rPr>
          <w:rFonts w:ascii="Cambria" w:cs="Cambria" w:eastAsia="Cambria" w:hAnsi="Cambria"/>
          <w:b/>
          <w:bCs/>
          <w:sz w:val="20"/>
          <w:szCs w:val="20"/>
        </w:rPr>
        <w:t xml:space="preserve">Kakraba S</w:t>
      </w:r>
      <w:r>
        <w:rPr>
          <w:rFonts w:ascii="Cambria" w:cs="Cambria" w:eastAsia="Cambria" w:hAnsi="Cambria"/>
          <w:sz w:val="20"/>
          <w:szCs w:val="20"/>
        </w:rPr>
        <w:t xml:space="preserve">, Alla R, Mehta JL, Shmookler Reis RJ (2019). Aggregate interactome based on protein-crosslinking interfaces predicts drug targets to limit aggregation in neurodegenerative diseases. </w:t>
      </w:r>
      <w:r>
        <w:rPr>
          <w:rFonts w:ascii="Cambria" w:cs="Cambria" w:eastAsia="Cambria" w:hAnsi="Cambria"/>
          <w:i/>
          <w:iCs/>
          <w:sz w:val="20"/>
          <w:szCs w:val="20"/>
        </w:rPr>
        <w:t xml:space="preserve">iScience</w:t>
      </w:r>
      <w:r>
        <w:rPr>
          <w:rFonts w:ascii="Cambria" w:cs="Cambria" w:eastAsia="Cambria" w:hAnsi="Cambria"/>
          <w:sz w:val="20"/>
          <w:szCs w:val="20"/>
        </w:rPr>
        <w:t xml:space="preserve">, 19, 356–372. </w:t>
      </w:r>
      <w:hyperlink w:history="1" r:id="rIdco0du4qkoxha542usurqj">
        <w:r>
          <w:rPr>
            <w:rFonts w:ascii="Cambria" w:cs="Cambria" w:eastAsia="Cambria" w:hAnsi="Cambria"/>
            <w:color w:val="2E5496"/>
            <w:sz w:val="19"/>
            <w:szCs w:val="19"/>
          </w:rPr>
          <w:t xml:space="preserve">https://doi.org/10.1016/j.isci.2019.09.026</w:t>
        </w:r>
      </w:hyperlink>
    </w:p>
    <w:p>
      <w:pPr>
        <w:pStyle w:val="ListParagraph"/>
        <w:keepLines/>
        <w:numPr>
          <w:ilvl w:val="0"/>
          <w:numId w:val="2"/>
        </w:numPr>
        <w:spacing w:after="90" w:line="252"/>
      </w:pPr>
      <w:r>
        <w:rPr>
          <w:rFonts w:ascii="Cambria" w:cs="Cambria" w:eastAsia="Cambria" w:hAnsi="Cambria"/>
          <w:sz w:val="20"/>
          <w:szCs w:val="20"/>
        </w:rPr>
        <w:t xml:space="preserve">Ayyadevara S, Balasubramaniam M, </w:t>
      </w:r>
      <w:r>
        <w:rPr>
          <w:rFonts w:ascii="Cambria" w:cs="Cambria" w:eastAsia="Cambria" w:hAnsi="Cambria"/>
          <w:b/>
          <w:bCs/>
          <w:sz w:val="20"/>
          <w:szCs w:val="20"/>
        </w:rPr>
        <w:t xml:space="preserve">Kakraba S</w:t>
      </w:r>
      <w:r>
        <w:rPr>
          <w:rFonts w:ascii="Cambria" w:cs="Cambria" w:eastAsia="Cambria" w:hAnsi="Cambria"/>
          <w:sz w:val="20"/>
          <w:szCs w:val="20"/>
        </w:rPr>
        <w:t xml:space="preserve">, Alla R, Mehta JL, Shmookler Reis RJ (2017). Aspirin-mediated acetylation protects against multiple neurodegenerative pathologies by impeding protein aggregation. </w:t>
      </w:r>
      <w:r>
        <w:rPr>
          <w:rFonts w:ascii="Cambria" w:cs="Cambria" w:eastAsia="Cambria" w:hAnsi="Cambria"/>
          <w:i/>
          <w:iCs/>
          <w:sz w:val="20"/>
          <w:szCs w:val="20"/>
        </w:rPr>
        <w:t xml:space="preserve">Antioxidants &amp; Redox Signaling</w:t>
      </w:r>
      <w:r>
        <w:rPr>
          <w:rFonts w:ascii="Cambria" w:cs="Cambria" w:eastAsia="Cambria" w:hAnsi="Cambria"/>
          <w:sz w:val="20"/>
          <w:szCs w:val="20"/>
        </w:rPr>
        <w:t xml:space="preserve">, 27(17), 1383–1396. </w:t>
      </w:r>
      <w:hyperlink w:history="1" r:id="rIdg44vgd0im1buru1lqt6po">
        <w:r>
          <w:rPr>
            <w:rFonts w:ascii="Cambria" w:cs="Cambria" w:eastAsia="Cambria" w:hAnsi="Cambria"/>
            <w:color w:val="2E5496"/>
            <w:sz w:val="19"/>
            <w:szCs w:val="19"/>
          </w:rPr>
          <w:t xml:space="preserve">https://doi.org/10.1089/ars.2016.6978</w:t>
        </w:r>
      </w:hyperlink>
    </w:p>
    <w:p>
      <w:pPr>
        <w:keepNext/>
        <w:spacing w:after="80" w:before="200"/>
      </w:pPr>
      <w:r>
        <w:rPr>
          <w:rFonts w:ascii="Cambria" w:cs="Cambria" w:eastAsia="Cambria" w:hAnsi="Cambria"/>
          <w:b/>
          <w:bCs/>
          <w:i/>
          <w:iCs/>
          <w:color w:val="2E5496"/>
          <w:sz w:val="21"/>
          <w:szCs w:val="21"/>
        </w:rPr>
        <w:t xml:space="preserve">Computational Biology and Mutation Modeling</w:t>
      </w:r>
    </w:p>
    <w:p>
      <w:pPr>
        <w:pStyle w:val="ListParagraph"/>
        <w:keepLines/>
        <w:numPr>
          <w:ilvl w:val="0"/>
          <w:numId w:val="2"/>
        </w:numPr>
        <w:spacing w:after="90" w:line="252"/>
      </w:pPr>
      <w:r>
        <w:rPr>
          <w:rFonts w:ascii="Cambria" w:cs="Cambria" w:eastAsia="Cambria" w:hAnsi="Cambria"/>
          <w:b/>
          <w:bCs/>
          <w:sz w:val="20"/>
          <w:szCs w:val="20"/>
        </w:rPr>
        <w:t xml:space="preserve">Kakraba S</w:t>
      </w:r>
      <w:r>
        <w:rPr>
          <w:rFonts w:ascii="Cambria" w:cs="Cambria" w:eastAsia="Cambria" w:hAnsi="Cambria"/>
          <w:sz w:val="20"/>
          <w:szCs w:val="20"/>
        </w:rPr>
        <w:t xml:space="preserve">, Yadem AC, Abraham KE, et al. (2026). Unraveling protein secrets: machine learning unveils novel biologically significant associations among amino acids. </w:t>
      </w:r>
      <w:r>
        <w:rPr>
          <w:rFonts w:ascii="Cambria" w:cs="Cambria" w:eastAsia="Cambria" w:hAnsi="Cambria"/>
          <w:i/>
          <w:iCs/>
          <w:sz w:val="20"/>
          <w:szCs w:val="20"/>
        </w:rPr>
        <w:t xml:space="preserve">Network Modeling Analysis in Health Informatics and Bioinformatics</w:t>
      </w:r>
      <w:r>
        <w:rPr>
          <w:rFonts w:ascii="Cambria" w:cs="Cambria" w:eastAsia="Cambria" w:hAnsi="Cambria"/>
          <w:sz w:val="20"/>
          <w:szCs w:val="20"/>
        </w:rPr>
        <w:t xml:space="preserve">, 15, 114. </w:t>
      </w:r>
      <w:hyperlink w:history="1" r:id="rIde0s64i0zvuc1tnguaruyn">
        <w:r>
          <w:rPr>
            <w:rFonts w:ascii="Cambria" w:cs="Cambria" w:eastAsia="Cambria" w:hAnsi="Cambria"/>
            <w:color w:val="2E5496"/>
            <w:sz w:val="19"/>
            <w:szCs w:val="19"/>
          </w:rPr>
          <w:t xml:space="preserve">https://doi.org/10.1007/s13721-026-00732-4</w:t>
        </w:r>
      </w:hyperlink>
    </w:p>
    <w:p>
      <w:pPr>
        <w:pStyle w:val="ListParagraph"/>
        <w:keepLines/>
        <w:numPr>
          <w:ilvl w:val="0"/>
          <w:numId w:val="2"/>
        </w:numPr>
        <w:spacing w:after="90" w:line="252"/>
      </w:pPr>
      <w:r>
        <w:rPr>
          <w:rFonts w:ascii="Cambria" w:cs="Cambria" w:eastAsia="Cambria" w:hAnsi="Cambria"/>
          <w:sz w:val="20"/>
          <w:szCs w:val="20"/>
        </w:rPr>
        <w:t xml:space="preserve">Netsey EK, Naandam SM, Asante Jnr J, et al., </w:t>
      </w:r>
      <w:r>
        <w:rPr>
          <w:rFonts w:ascii="Cambria" w:cs="Cambria" w:eastAsia="Cambria" w:hAnsi="Cambria"/>
          <w:b/>
          <w:bCs/>
          <w:sz w:val="20"/>
          <w:szCs w:val="20"/>
        </w:rPr>
        <w:t xml:space="preserve">Kakraba S</w:t>
      </w:r>
      <w:r>
        <w:rPr>
          <w:rFonts w:ascii="Cambria" w:cs="Cambria" w:eastAsia="Cambria" w:hAnsi="Cambria"/>
          <w:sz w:val="20"/>
          <w:szCs w:val="20"/>
        </w:rPr>
        <w:t xml:space="preserve"> (2025). Structural and functional impacts of SARS-CoV-2 spike protein mutations: insights from predictive modeling and analytics. </w:t>
      </w:r>
      <w:r>
        <w:rPr>
          <w:rFonts w:ascii="Cambria" w:cs="Cambria" w:eastAsia="Cambria" w:hAnsi="Cambria"/>
          <w:i/>
          <w:iCs/>
          <w:sz w:val="20"/>
          <w:szCs w:val="20"/>
        </w:rPr>
        <w:t xml:space="preserve">JMIR Bioinformatics and Biotechnology</w:t>
      </w:r>
      <w:r>
        <w:rPr>
          <w:rFonts w:ascii="Cambria" w:cs="Cambria" w:eastAsia="Cambria" w:hAnsi="Cambria"/>
          <w:sz w:val="20"/>
          <w:szCs w:val="20"/>
        </w:rPr>
        <w:t xml:space="preserve">, 6:e73637. </w:t>
      </w:r>
      <w:hyperlink w:history="1" r:id="rIdqykh5vkqwt-3ug8zi0id3">
        <w:r>
          <w:rPr>
            <w:rFonts w:ascii="Cambria" w:cs="Cambria" w:eastAsia="Cambria" w:hAnsi="Cambria"/>
            <w:color w:val="2E5496"/>
            <w:sz w:val="19"/>
            <w:szCs w:val="19"/>
          </w:rPr>
          <w:t xml:space="preserve">https://doi.org/10.2196/73637</w:t>
        </w:r>
      </w:hyperlink>
    </w:p>
    <w:p>
      <w:pPr>
        <w:pStyle w:val="ListParagraph"/>
        <w:keepLines/>
        <w:numPr>
          <w:ilvl w:val="0"/>
          <w:numId w:val="2"/>
        </w:numPr>
        <w:spacing w:after="90" w:line="252"/>
      </w:pPr>
      <w:r>
        <w:rPr>
          <w:rFonts w:ascii="Cambria" w:cs="Cambria" w:eastAsia="Cambria" w:hAnsi="Cambria"/>
          <w:sz w:val="20"/>
          <w:szCs w:val="20"/>
        </w:rPr>
        <w:t xml:space="preserve">Naandam SM, Gogovi GK, </w:t>
      </w:r>
      <w:r>
        <w:rPr>
          <w:rFonts w:ascii="Cambria" w:cs="Cambria" w:eastAsia="Cambria" w:hAnsi="Cambria"/>
          <w:b/>
          <w:bCs/>
          <w:sz w:val="20"/>
          <w:szCs w:val="20"/>
        </w:rPr>
        <w:t xml:space="preserve">Kakraba S</w:t>
      </w:r>
      <w:r>
        <w:rPr>
          <w:rFonts w:ascii="Cambria" w:cs="Cambria" w:eastAsia="Cambria" w:hAnsi="Cambria"/>
          <w:sz w:val="20"/>
          <w:szCs w:val="20"/>
        </w:rPr>
        <w:t xml:space="preserve"> (in press). Temperature effect on the structural dynamics of SARS-CoV-2 nucleocapsid domain. </w:t>
      </w:r>
      <w:r>
        <w:rPr>
          <w:rFonts w:ascii="Cambria" w:cs="Cambria" w:eastAsia="Cambria" w:hAnsi="Cambria"/>
          <w:i/>
          <w:iCs/>
          <w:sz w:val="20"/>
          <w:szCs w:val="20"/>
        </w:rPr>
        <w:t xml:space="preserve">Advances in Computer Vision and Computational Biology</w:t>
      </w:r>
      <w:r>
        <w:rPr>
          <w:rFonts w:ascii="Cambria" w:cs="Cambria" w:eastAsia="Cambria" w:hAnsi="Cambria"/>
          <w:sz w:val="20"/>
          <w:szCs w:val="20"/>
        </w:rPr>
        <w:t xml:space="preserve">, Springer Nature.</w:t>
      </w:r>
    </w:p>
    <w:p>
      <w:pPr>
        <w:pStyle w:val="ListParagraph"/>
        <w:keepLines/>
        <w:numPr>
          <w:ilvl w:val="0"/>
          <w:numId w:val="2"/>
        </w:numPr>
        <w:spacing w:after="90" w:line="252"/>
      </w:pPr>
      <w:r>
        <w:rPr>
          <w:rFonts w:ascii="Cambria" w:cs="Cambria" w:eastAsia="Cambria" w:hAnsi="Cambria"/>
          <w:sz w:val="20"/>
          <w:szCs w:val="20"/>
        </w:rPr>
        <w:t xml:space="preserve">Netsey EK, </w:t>
      </w:r>
      <w:r>
        <w:rPr>
          <w:rFonts w:ascii="Cambria" w:cs="Cambria" w:eastAsia="Cambria" w:hAnsi="Cambria"/>
          <w:b/>
          <w:bCs/>
          <w:sz w:val="20"/>
          <w:szCs w:val="20"/>
        </w:rPr>
        <w:t xml:space="preserve">Kakraba S</w:t>
      </w:r>
      <w:r>
        <w:rPr>
          <w:rFonts w:ascii="Cambria" w:cs="Cambria" w:eastAsia="Cambria" w:hAnsi="Cambria"/>
          <w:sz w:val="20"/>
          <w:szCs w:val="20"/>
        </w:rPr>
        <w:t xml:space="preserve">, Naandam SM, Yadem AC (2021). A mathematical graph-theoretic model of single point mutations associated with sickle cell anemia disease. </w:t>
      </w:r>
      <w:r>
        <w:rPr>
          <w:rFonts w:ascii="Cambria" w:cs="Cambria" w:eastAsia="Cambria" w:hAnsi="Cambria"/>
          <w:i/>
          <w:iCs/>
          <w:sz w:val="20"/>
          <w:szCs w:val="20"/>
        </w:rPr>
        <w:t xml:space="preserve">Journal of Advances in Biotechnology</w:t>
      </w:r>
      <w:r>
        <w:rPr>
          <w:rFonts w:ascii="Cambria" w:cs="Cambria" w:eastAsia="Cambria" w:hAnsi="Cambria"/>
          <w:sz w:val="20"/>
          <w:szCs w:val="20"/>
        </w:rPr>
        <w:t xml:space="preserve">, 9, 1–14. </w:t>
      </w:r>
      <w:hyperlink w:history="1" r:id="rIdyetzsxio2o_uq0uxliuis">
        <w:r>
          <w:rPr>
            <w:rFonts w:ascii="Cambria" w:cs="Cambria" w:eastAsia="Cambria" w:hAnsi="Cambria"/>
            <w:color w:val="2E5496"/>
            <w:sz w:val="19"/>
            <w:szCs w:val="19"/>
          </w:rPr>
          <w:t xml:space="preserve">https://doi.org/10.24297/jbt.v9i.9109</w:t>
        </w:r>
      </w:hyperlink>
    </w:p>
    <w:p>
      <w:pPr>
        <w:pStyle w:val="ListParagraph"/>
        <w:keepLines/>
        <w:numPr>
          <w:ilvl w:val="0"/>
          <w:numId w:val="2"/>
        </w:numPr>
        <w:spacing w:after="90" w:line="252"/>
      </w:pPr>
      <w:r>
        <w:rPr>
          <w:rFonts w:ascii="Cambria" w:cs="Cambria" w:eastAsia="Cambria" w:hAnsi="Cambria"/>
          <w:b/>
          <w:bCs/>
          <w:sz w:val="20"/>
          <w:szCs w:val="20"/>
        </w:rPr>
        <w:t xml:space="preserve">Kakraba S</w:t>
      </w:r>
      <w:r>
        <w:rPr>
          <w:rFonts w:ascii="Cambria" w:cs="Cambria" w:eastAsia="Cambria" w:hAnsi="Cambria"/>
          <w:sz w:val="20"/>
          <w:szCs w:val="20"/>
        </w:rPr>
        <w:t xml:space="preserve">, Knisley D (2016). A graph-theoretic model of single point mutations in the cystic fibrosis transmembrane conductance regulator. </w:t>
      </w:r>
      <w:r>
        <w:rPr>
          <w:rFonts w:ascii="Cambria" w:cs="Cambria" w:eastAsia="Cambria" w:hAnsi="Cambria"/>
          <w:i/>
          <w:iCs/>
          <w:sz w:val="20"/>
          <w:szCs w:val="20"/>
        </w:rPr>
        <w:t xml:space="preserve">Journal of Advances in Biotechnology</w:t>
      </w:r>
      <w:r>
        <w:rPr>
          <w:rFonts w:ascii="Cambria" w:cs="Cambria" w:eastAsia="Cambria" w:hAnsi="Cambria"/>
          <w:sz w:val="20"/>
          <w:szCs w:val="20"/>
        </w:rPr>
        <w:t xml:space="preserve">, 6(1), 780–786. </w:t>
      </w:r>
      <w:hyperlink w:history="1" r:id="rIdawir7k_aszg-cla4lcwyn">
        <w:r>
          <w:rPr>
            <w:rFonts w:ascii="Cambria" w:cs="Cambria" w:eastAsia="Cambria" w:hAnsi="Cambria"/>
            <w:color w:val="2E5496"/>
            <w:sz w:val="19"/>
            <w:szCs w:val="19"/>
          </w:rPr>
          <w:t xml:space="preserve">https://doi.org/10.24297/jbt.v6i1.4013</w:t>
        </w:r>
      </w:hyperlink>
    </w:p>
    <w:p>
      <w:pPr>
        <w:keepNext/>
        <w:spacing w:after="80" w:before="200"/>
      </w:pPr>
      <w:r>
        <w:rPr>
          <w:rFonts w:ascii="Cambria" w:cs="Cambria" w:eastAsia="Cambria" w:hAnsi="Cambria"/>
          <w:b/>
          <w:bCs/>
          <w:i/>
          <w:iCs/>
          <w:color w:val="2E5496"/>
          <w:sz w:val="21"/>
          <w:szCs w:val="21"/>
        </w:rPr>
        <w:t xml:space="preserve">Clinical and Public Health Prediction</w:t>
      </w:r>
    </w:p>
    <w:p>
      <w:pPr>
        <w:pStyle w:val="ListParagraph"/>
        <w:keepLines/>
        <w:numPr>
          <w:ilvl w:val="0"/>
          <w:numId w:val="2"/>
        </w:numPr>
        <w:spacing w:after="90" w:line="252"/>
      </w:pPr>
      <w:r>
        <w:rPr>
          <w:rFonts w:ascii="Cambria" w:cs="Cambria" w:eastAsia="Cambria" w:hAnsi="Cambria"/>
          <w:sz w:val="20"/>
          <w:szCs w:val="20"/>
        </w:rPr>
        <w:t xml:space="preserve">Candanedo D, Agyemang E, Chaudhry F, Franks T, Taylor B, Siliezar K, </w:t>
      </w:r>
      <w:r>
        <w:rPr>
          <w:rFonts w:ascii="Cambria" w:cs="Cambria" w:eastAsia="Cambria" w:hAnsi="Cambria"/>
          <w:b/>
          <w:bCs/>
          <w:sz w:val="20"/>
          <w:szCs w:val="20"/>
        </w:rPr>
        <w:t xml:space="preserve">Kakraba S</w:t>
      </w:r>
      <w:r>
        <w:rPr>
          <w:rFonts w:ascii="Cambria" w:cs="Cambria" w:eastAsia="Cambria" w:hAnsi="Cambria"/>
          <w:sz w:val="20"/>
          <w:szCs w:val="20"/>
        </w:rPr>
        <w:t xml:space="preserve"> (2026). Leveraging machine learning algorithms and explainable AI for predicting mental health disorder treatment at the workplace. </w:t>
      </w:r>
      <w:r>
        <w:rPr>
          <w:rFonts w:ascii="Cambria" w:cs="Cambria" w:eastAsia="Cambria" w:hAnsi="Cambria"/>
          <w:i/>
          <w:iCs/>
          <w:sz w:val="20"/>
          <w:szCs w:val="20"/>
        </w:rPr>
        <w:t xml:space="preserve">Acta Psychologica</w:t>
      </w:r>
      <w:r>
        <w:rPr>
          <w:rFonts w:ascii="Cambria" w:cs="Cambria" w:eastAsia="Cambria" w:hAnsi="Cambria"/>
          <w:sz w:val="20"/>
          <w:szCs w:val="20"/>
        </w:rPr>
        <w:t xml:space="preserve">, 267, 107081. </w:t>
      </w:r>
      <w:hyperlink w:history="1" r:id="rIdimtv7evel6skglqilifhb">
        <w:r>
          <w:rPr>
            <w:rFonts w:ascii="Cambria" w:cs="Cambria" w:eastAsia="Cambria" w:hAnsi="Cambria"/>
            <w:color w:val="2E5496"/>
            <w:sz w:val="19"/>
            <w:szCs w:val="19"/>
          </w:rPr>
          <w:t xml:space="preserve">https://doi.org/10.1016/j.actpsy.2026.107081</w:t>
        </w:r>
      </w:hyperlink>
    </w:p>
    <w:p>
      <w:pPr>
        <w:pStyle w:val="ListParagraph"/>
        <w:keepLines/>
        <w:numPr>
          <w:ilvl w:val="0"/>
          <w:numId w:val="2"/>
        </w:numPr>
        <w:spacing w:after="90" w:line="252"/>
      </w:pPr>
      <w:r>
        <w:rPr>
          <w:rFonts w:ascii="Cambria" w:cs="Cambria" w:eastAsia="Cambria" w:hAnsi="Cambria"/>
          <w:sz w:val="20"/>
          <w:szCs w:val="20"/>
        </w:rPr>
        <w:t xml:space="preserve">Wenzheng H, Agyemang EF, Srivastav S, Shaffer JG, </w:t>
      </w:r>
      <w:r>
        <w:rPr>
          <w:rFonts w:ascii="Cambria" w:cs="Cambria" w:eastAsia="Cambria" w:hAnsi="Cambria"/>
          <w:b/>
          <w:bCs/>
          <w:sz w:val="20"/>
          <w:szCs w:val="20"/>
        </w:rPr>
        <w:t xml:space="preserve">Kakraba S</w:t>
      </w:r>
      <w:r>
        <w:rPr>
          <w:rFonts w:ascii="Cambria" w:cs="Cambria" w:eastAsia="Cambria" w:hAnsi="Cambria"/>
          <w:sz w:val="20"/>
          <w:szCs w:val="20"/>
        </w:rPr>
        <w:t xml:space="preserve"> (2025). AI-enhanced multi-algorithm R Shiny app for predictive modeling and analytics: a case study of Alzheimer's disease diagnostics. </w:t>
      </w:r>
      <w:r>
        <w:rPr>
          <w:rFonts w:ascii="Cambria" w:cs="Cambria" w:eastAsia="Cambria" w:hAnsi="Cambria"/>
          <w:i/>
          <w:iCs/>
          <w:sz w:val="20"/>
          <w:szCs w:val="20"/>
        </w:rPr>
        <w:t xml:space="preserve">JMIR Aging</w:t>
      </w:r>
      <w:r>
        <w:rPr>
          <w:rFonts w:ascii="Cambria" w:cs="Cambria" w:eastAsia="Cambria" w:hAnsi="Cambria"/>
          <w:sz w:val="20"/>
          <w:szCs w:val="20"/>
        </w:rPr>
        <w:t xml:space="preserve">. </w:t>
      </w:r>
      <w:hyperlink w:history="1" r:id="rIdrpb_2uq0mofu6e5zi3b1e">
        <w:r>
          <w:rPr>
            <w:rFonts w:ascii="Cambria" w:cs="Cambria" w:eastAsia="Cambria" w:hAnsi="Cambria"/>
            <w:color w:val="2E5496"/>
            <w:sz w:val="19"/>
            <w:szCs w:val="19"/>
          </w:rPr>
          <w:t xml:space="preserve">https://doi.org/10.2196/70272</w:t>
        </w:r>
      </w:hyperlink>
    </w:p>
    <w:p>
      <w:pPr>
        <w:pStyle w:val="ListParagraph"/>
        <w:keepLines/>
        <w:numPr>
          <w:ilvl w:val="0"/>
          <w:numId w:val="2"/>
        </w:numPr>
        <w:spacing w:after="90" w:line="252"/>
      </w:pPr>
      <w:r>
        <w:rPr>
          <w:rFonts w:ascii="Cambria" w:cs="Cambria" w:eastAsia="Cambria" w:hAnsi="Cambria"/>
          <w:sz w:val="20"/>
          <w:szCs w:val="20"/>
        </w:rPr>
        <w:t xml:space="preserve">Yang Z, Zhou H, Srivastav S, Shaffer JG, Abraham KE, Naandam SM, </w:t>
      </w:r>
      <w:r>
        <w:rPr>
          <w:rFonts w:ascii="Cambria" w:cs="Cambria" w:eastAsia="Cambria" w:hAnsi="Cambria"/>
          <w:b/>
          <w:bCs/>
          <w:sz w:val="20"/>
          <w:szCs w:val="20"/>
        </w:rPr>
        <w:t xml:space="preserve">Kakraba S</w:t>
      </w:r>
      <w:r>
        <w:rPr>
          <w:rFonts w:ascii="Cambria" w:cs="Cambria" w:eastAsia="Cambria" w:hAnsi="Cambria"/>
          <w:sz w:val="20"/>
          <w:szCs w:val="20"/>
        </w:rPr>
        <w:t xml:space="preserve"> (2025). Optimizing Parkinson's disease prediction: a comparative analysis of data aggregation methods using multiple voice recordings via an automated artificial intelligence pipeline. </w:t>
      </w:r>
      <w:r>
        <w:rPr>
          <w:rFonts w:ascii="Cambria" w:cs="Cambria" w:eastAsia="Cambria" w:hAnsi="Cambria"/>
          <w:i/>
          <w:iCs/>
          <w:sz w:val="20"/>
          <w:szCs w:val="20"/>
        </w:rPr>
        <w:t xml:space="preserve">Data</w:t>
      </w:r>
      <w:r>
        <w:rPr>
          <w:rFonts w:ascii="Cambria" w:cs="Cambria" w:eastAsia="Cambria" w:hAnsi="Cambria"/>
          <w:sz w:val="20"/>
          <w:szCs w:val="20"/>
        </w:rPr>
        <w:t xml:space="preserve">, 10(1), 4. </w:t>
      </w:r>
      <w:hyperlink w:history="1" r:id="rIddibktwgrokgcmsszpp0kd">
        <w:r>
          <w:rPr>
            <w:rFonts w:ascii="Cambria" w:cs="Cambria" w:eastAsia="Cambria" w:hAnsi="Cambria"/>
            <w:color w:val="2E5496"/>
            <w:sz w:val="19"/>
            <w:szCs w:val="19"/>
          </w:rPr>
          <w:t xml:space="preserve">https://doi.org/10.3390/data10010004</w:t>
        </w:r>
      </w:hyperlink>
    </w:p>
    <w:p>
      <w:pPr>
        <w:keepNext/>
        <w:spacing w:after="80" w:before="200"/>
      </w:pPr>
      <w:r>
        <w:rPr>
          <w:rFonts w:ascii="Cambria" w:cs="Cambria" w:eastAsia="Cambria" w:hAnsi="Cambria"/>
          <w:b/>
          <w:bCs/>
          <w:i/>
          <w:iCs/>
          <w:color w:val="2E5496"/>
          <w:sz w:val="21"/>
          <w:szCs w:val="21"/>
        </w:rPr>
        <w:t xml:space="preserve">Responsible AI, Global Health, and Data Science Education</w:t>
      </w:r>
    </w:p>
    <w:p>
      <w:pPr>
        <w:pStyle w:val="ListParagraph"/>
        <w:keepLines/>
        <w:numPr>
          <w:ilvl w:val="0"/>
          <w:numId w:val="2"/>
        </w:numPr>
        <w:spacing w:after="90" w:line="252"/>
      </w:pPr>
      <w:r>
        <w:rPr>
          <w:rFonts w:ascii="Cambria" w:cs="Cambria" w:eastAsia="Cambria" w:hAnsi="Cambria"/>
          <w:b/>
          <w:bCs/>
          <w:sz w:val="20"/>
          <w:szCs w:val="20"/>
        </w:rPr>
        <w:t xml:space="preserve">Kakraba S</w:t>
      </w:r>
      <w:r>
        <w:rPr>
          <w:rFonts w:ascii="Cambria" w:cs="Cambria" w:eastAsia="Cambria" w:hAnsi="Cambria"/>
          <w:sz w:val="20"/>
          <w:szCs w:val="20"/>
        </w:rPr>
        <w:t xml:space="preserve">, Agyemang EF, Srivastav SK (2026). Cognitive sovereignty and decolonial public health: reclaiming epistemic authority in the global AI era. </w:t>
      </w:r>
      <w:r>
        <w:rPr>
          <w:rFonts w:ascii="Cambria" w:cs="Cambria" w:eastAsia="Cambria" w:hAnsi="Cambria"/>
          <w:i/>
          <w:iCs/>
          <w:sz w:val="20"/>
          <w:szCs w:val="20"/>
        </w:rPr>
        <w:t xml:space="preserve">Frontiers in Public Health</w:t>
      </w:r>
      <w:r>
        <w:rPr>
          <w:rFonts w:ascii="Cambria" w:cs="Cambria" w:eastAsia="Cambria" w:hAnsi="Cambria"/>
          <w:sz w:val="20"/>
          <w:szCs w:val="20"/>
        </w:rPr>
        <w:t xml:space="preserve">, 14:1785170. </w:t>
      </w:r>
      <w:hyperlink w:history="1" r:id="rIdjunft6zoo1bttg7mkclbm">
        <w:r>
          <w:rPr>
            <w:rFonts w:ascii="Cambria" w:cs="Cambria" w:eastAsia="Cambria" w:hAnsi="Cambria"/>
            <w:color w:val="2E5496"/>
            <w:sz w:val="19"/>
            <w:szCs w:val="19"/>
          </w:rPr>
          <w:t xml:space="preserve">https://doi.org/10.3389/fpubh.2026.1785170</w:t>
        </w:r>
      </w:hyperlink>
    </w:p>
    <w:p>
      <w:pPr>
        <w:pStyle w:val="ListParagraph"/>
        <w:keepLines/>
        <w:numPr>
          <w:ilvl w:val="0"/>
          <w:numId w:val="2"/>
        </w:numPr>
        <w:spacing w:after="90" w:line="252"/>
      </w:pPr>
      <w:r>
        <w:rPr>
          <w:rFonts w:ascii="Cambria" w:cs="Cambria" w:eastAsia="Cambria" w:hAnsi="Cambria"/>
          <w:sz w:val="20"/>
          <w:szCs w:val="20"/>
        </w:rPr>
        <w:t xml:space="preserve">Doumbia S, Kane F, Diabate O, et al., </w:t>
      </w:r>
      <w:r>
        <w:rPr>
          <w:rFonts w:ascii="Cambria" w:cs="Cambria" w:eastAsia="Cambria" w:hAnsi="Cambria"/>
          <w:b/>
          <w:bCs/>
          <w:sz w:val="20"/>
          <w:szCs w:val="20"/>
        </w:rPr>
        <w:t xml:space="preserve">Kakraba S</w:t>
      </w:r>
      <w:r>
        <w:rPr>
          <w:rFonts w:ascii="Cambria" w:cs="Cambria" w:eastAsia="Cambria" w:hAnsi="Cambria"/>
          <w:sz w:val="20"/>
          <w:szCs w:val="20"/>
        </w:rPr>
        <w:t xml:space="preserve">, et al., Shaffer JG (2026). Advancing data science research education in Africa through datathon-driven innovations. </w:t>
      </w:r>
      <w:r>
        <w:rPr>
          <w:rFonts w:ascii="Cambria" w:cs="Cambria" w:eastAsia="Cambria" w:hAnsi="Cambria"/>
          <w:i/>
          <w:iCs/>
          <w:sz w:val="20"/>
          <w:szCs w:val="20"/>
        </w:rPr>
        <w:t xml:space="preserve">Scientific Reports</w:t>
      </w:r>
      <w:r>
        <w:rPr>
          <w:rFonts w:ascii="Cambria" w:cs="Cambria" w:eastAsia="Cambria" w:hAnsi="Cambria"/>
          <w:sz w:val="20"/>
          <w:szCs w:val="20"/>
        </w:rPr>
        <w:t xml:space="preserve">. </w:t>
      </w:r>
      <w:hyperlink w:history="1" r:id="rId4w_83uyey5_lplgvjktp0">
        <w:r>
          <w:rPr>
            <w:rFonts w:ascii="Cambria" w:cs="Cambria" w:eastAsia="Cambria" w:hAnsi="Cambria"/>
            <w:color w:val="2E5496"/>
            <w:sz w:val="19"/>
            <w:szCs w:val="19"/>
          </w:rPr>
          <w:t xml:space="preserve">https://doi.org/10.1038/s41598-026-41474-7</w:t>
        </w:r>
      </w:hyperlink>
    </w:p>
    <w:p>
      <w:pPr>
        <w:keepNext/>
        <w:pBdr>
          <w:bottom w:val="single" w:color="1F3864" w:sz="8" w:space="2"/>
        </w:pBdr>
        <w:spacing w:after="120" w:before="320"/>
      </w:pPr>
      <w:r>
        <w:rPr>
          <w:rFonts w:ascii="Cambria" w:cs="Cambria" w:eastAsia="Cambria" w:hAnsi="Cambria"/>
          <w:b/>
          <w:bCs/>
          <w:color w:val="1F3864"/>
          <w:spacing w:val="10"/>
          <w:sz w:val="23"/>
          <w:szCs w:val="23"/>
        </w:rPr>
        <w:t xml:space="preserve">GLOBAL REACH AND MENTORSHIP</w:t>
      </w:r>
    </w:p>
    <w:p>
      <w:pPr>
        <w:spacing w:after="140" w:line="276"/>
        <w:jc w:val="both"/>
      </w:pPr>
      <w:r>
        <w:rPr>
          <w:rFonts w:ascii="Cambria" w:cs="Cambria" w:eastAsia="Cambria" w:hAnsi="Cambria"/>
        </w:rPr>
        <w:t xml:space="preserve">The lab's identity is also international. Dr. Kakraba serves as Tulane WSPH's liaison to four Ghanaian institutions: Kwame Nkrumah University of Science and Technology, the University of Ghana, the University of Cape Coast, and Ensign Global University. Through these partnerships and personal mentorship, he has helped more than 20 international students reach master's and doctoral programs in the United States, the United Kingdom, Canada, and beyond. Lab members include PhD, MS, and MSPH students who lead projects, present at national meetings, and co-author peer-reviewed work from their first year.</w:t>
      </w:r>
    </w:p>
    <w:p>
      <w:pPr>
        <w:keepNext/>
        <w:pBdr>
          <w:bottom w:val="single" w:color="1F3864" w:sz="8" w:space="2"/>
        </w:pBdr>
        <w:spacing w:after="120" w:before="320"/>
      </w:pPr>
      <w:r>
        <w:rPr>
          <w:rFonts w:ascii="Cambria" w:cs="Cambria" w:eastAsia="Cambria" w:hAnsi="Cambria"/>
          <w:b/>
          <w:bCs/>
          <w:color w:val="1F3864"/>
          <w:spacing w:val="10"/>
          <w:sz w:val="23"/>
          <w:szCs w:val="23"/>
        </w:rPr>
        <w:t xml:space="preserve">LEADERSHIP</w:t>
      </w:r>
    </w:p>
    <w:p>
      <w:pPr>
        <w:spacing w:after="140" w:line="276"/>
        <w:jc w:val="both"/>
      </w:pPr>
      <w:r>
        <w:rPr>
          <w:rFonts w:ascii="Cambria" w:cs="Cambria" w:eastAsia="Cambria" w:hAnsi="Cambria"/>
        </w:rPr>
        <w:t xml:space="preserve">Dr. Kakraba also holds appointments at the Tulane Center for Aging and the Connolly Alexander Institute of Data Science, where he serves as Senior Advisor for Health Data Science Engagement. He is Associate Editor of </w:t>
      </w:r>
      <w:r>
        <w:rPr>
          <w:rFonts w:ascii="Cambria" w:cs="Cambria" w:eastAsia="Cambria" w:hAnsi="Cambria"/>
          <w:i/>
          <w:iCs/>
        </w:rPr>
        <w:t xml:space="preserve">JMIR Aging</w:t>
      </w:r>
      <w:r>
        <w:rPr>
          <w:rFonts w:ascii="Cambria" w:cs="Cambria" w:eastAsia="Cambria" w:hAnsi="Cambria"/>
        </w:rPr>
        <w:t xml:space="preserve"> and sits on the editorial board of </w:t>
      </w:r>
      <w:r>
        <w:rPr>
          <w:rFonts w:ascii="Cambria" w:cs="Cambria" w:eastAsia="Cambria" w:hAnsi="Cambria"/>
          <w:i/>
          <w:iCs/>
        </w:rPr>
        <w:t xml:space="preserve">Scientific Reports</w:t>
      </w:r>
      <w:r>
        <w:rPr>
          <w:rFonts w:ascii="Cambria" w:cs="Cambria" w:eastAsia="Cambria" w:hAnsi="Cambria"/>
        </w:rPr>
        <w:t xml:space="preserve">, along with more than a dozen other journals.</w:t>
      </w:r>
    </w:p>
    <w:p>
      <w:pPr>
        <w:keepNext/>
        <w:pBdr>
          <w:bottom w:val="single" w:color="1F3864" w:sz="8" w:space="2"/>
        </w:pBdr>
        <w:spacing w:after="120" w:before="320"/>
      </w:pPr>
      <w:r>
        <w:rPr>
          <w:rFonts w:ascii="Cambria" w:cs="Cambria" w:eastAsia="Cambria" w:hAnsi="Cambria"/>
          <w:b/>
          <w:bCs/>
          <w:color w:val="1F3864"/>
          <w:spacing w:val="10"/>
          <w:sz w:val="23"/>
          <w:szCs w:val="23"/>
        </w:rPr>
        <w:t xml:space="preserve">OUR MISSION</w:t>
      </w:r>
    </w:p>
    <w:p>
      <w:pPr>
        <w:pBdr>
          <w:left w:val="single" w:color="1F3864" w:sz="24" w:space="8"/>
        </w:pBdr>
        <w:shd w:fill="EEF2F8" w:color="auto" w:val="clear"/>
        <w:spacing w:after="120" w:before="120"/>
        <w:jc w:val="center"/>
      </w:pPr>
      <w:r>
        <w:rPr>
          <w:rFonts w:ascii="Cambria" w:cs="Cambria" w:eastAsia="Cambria" w:hAnsi="Cambria"/>
          <w:i/>
          <w:iCs/>
          <w:color w:val="1F3864"/>
          <w:sz w:val="23"/>
          <w:szCs w:val="23"/>
        </w:rPr>
        <w:t xml:space="preserve">To develop trustworthy, open, and globally minded AI that speeds discovery, strengthens public health, and prepares the next generation of scientists, wherever they begin.</w:t>
      </w:r>
    </w:p>
    <w:sectPr>
      <w:footerReference w:type="default" r:id="rId7"/>
      <w:pgSz w:w="12240" w:h="15840" w:orient="portrait"/>
      <w:pgMar w:top="1296"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95959"/>
        <w:sz w:val="16"/>
        <w:szCs w:val="16"/>
      </w:rPr>
      <w:t xml:space="preserve">Kakraba International Research Lab  ·  Tulane University  ·  </w:t>
    </w:r>
    <w:r>
      <w:rPr>
        <w:rFonts w:ascii="Cambria" w:cs="Cambria" w:eastAsia="Cambria" w:hAnsi="Cambria"/>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color w:val="2E54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mhntlvs-pfyayot4rjsb" Type="http://schemas.openxmlformats.org/officeDocument/2006/relationships/hyperlink" Target="https://doi.org/10.2196/81552" TargetMode="External"/><Relationship Id="rIdljjla3mluko_5i9npiwyp" Type="http://schemas.openxmlformats.org/officeDocument/2006/relationships/hyperlink" Target="https://doi.org/10.2196/77890" TargetMode="External"/><Relationship Id="rIdj77rqdejmp4ar3mpvgmx8" Type="http://schemas.openxmlformats.org/officeDocument/2006/relationships/hyperlink" Target="https://doi.org/10.3390/ph16101498" TargetMode="External"/><Relationship Id="rIdj0gnotdfh36g28wechudp" Type="http://schemas.openxmlformats.org/officeDocument/2006/relationships/hyperlink" Target="https://doi.org/10.3390/molecules25163610" TargetMode="External"/><Relationship Id="rIdivfb_j2jz3q5hxapjoytk" Type="http://schemas.openxmlformats.org/officeDocument/2006/relationships/hyperlink" Target="https://doi.org/10.3389/fnmol.2019.00310" TargetMode="External"/><Relationship Id="rIdco0du4qkoxha542usurqj" Type="http://schemas.openxmlformats.org/officeDocument/2006/relationships/hyperlink" Target="https://doi.org/10.1016/j.isci.2019.09.026" TargetMode="External"/><Relationship Id="rIdg44vgd0im1buru1lqt6po" Type="http://schemas.openxmlformats.org/officeDocument/2006/relationships/hyperlink" Target="https://doi.org/10.1089/ars.2016.6978" TargetMode="External"/><Relationship Id="rIde0s64i0zvuc1tnguaruyn" Type="http://schemas.openxmlformats.org/officeDocument/2006/relationships/hyperlink" Target="https://doi.org/10.1007/s13721-026-00732-4" TargetMode="External"/><Relationship Id="rIdqykh5vkqwt-3ug8zi0id3" Type="http://schemas.openxmlformats.org/officeDocument/2006/relationships/hyperlink" Target="https://doi.org/10.2196/73637" TargetMode="External"/><Relationship Id="rIdyetzsxio2o_uq0uxliuis" Type="http://schemas.openxmlformats.org/officeDocument/2006/relationships/hyperlink" Target="https://doi.org/10.24297/jbt.v9i.9109" TargetMode="External"/><Relationship Id="rIdawir7k_aszg-cla4lcwyn" Type="http://schemas.openxmlformats.org/officeDocument/2006/relationships/hyperlink" Target="https://doi.org/10.24297/jbt.v6i1.4013" TargetMode="External"/><Relationship Id="rIdimtv7evel6skglqilifhb" Type="http://schemas.openxmlformats.org/officeDocument/2006/relationships/hyperlink" Target="https://doi.org/10.1016/j.actpsy.2026.107081" TargetMode="External"/><Relationship Id="rIdrpb_2uq0mofu6e5zi3b1e" Type="http://schemas.openxmlformats.org/officeDocument/2006/relationships/hyperlink" Target="https://doi.org/10.2196/70272" TargetMode="External"/><Relationship Id="rIddibktwgrokgcmsszpp0kd" Type="http://schemas.openxmlformats.org/officeDocument/2006/relationships/hyperlink" Target="https://doi.org/10.3390/data10010004" TargetMode="External"/><Relationship Id="rIdjunft6zoo1bttg7mkclbm" Type="http://schemas.openxmlformats.org/officeDocument/2006/relationships/hyperlink" Target="https://doi.org/10.3389/fpubh.2026.1785170" TargetMode="External"/><Relationship Id="rId4w_83uyey5_lplgvjktp0" Type="http://schemas.openxmlformats.org/officeDocument/2006/relationships/hyperlink" Target="https://doi.org/10.1038/s41598-026-41474-7"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2026-09-30T14:17:34.024Z</dcterms:created>
  <dcterms:modified xsi:type="dcterms:W3CDTF">2026-09-30T14:17:34.033Z</dcterms:modified>
</cp:coreProperties>
</file>

<file path=docProps/custom.xml><?xml version="1.0" encoding="utf-8"?>
<Properties xmlns="http://schemas.openxmlformats.org/officeDocument/2006/custom-properties" xmlns:vt="http://schemas.openxmlformats.org/officeDocument/2006/docPropsVTypes"/>
</file>