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32"/>
          <w:szCs w:val="32"/>
        </w:rPr>
      </w:pPr>
      <w:bookmarkStart w:id="0" w:name="_Hlk135648499"/>
      <w:bookmarkEnd w:id="0"/>
      <w:r>
        <w:rPr>
          <w:rFonts w:cs="Times New Roman"/>
          <w:b/>
          <w:sz w:val="32"/>
          <w:szCs w:val="32"/>
        </w:rPr>
        <w:t>Аннотация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Данная работа посвящена численному моделированию воздействия вибрационной нагрузки на трёхмерный образец с использованием метода конечных элементов. Исследование включает в себя постановку задачи, разработку математической модели, реализацию численного метода, анализ результатов и сравнение с теоретическими предсказаниями. Основное внимание уделено моделированию динамики пластины под действием вибрационных нагрузок, а также изучению амплитудно-частотных характеристик системы. Работа включает в себя программную реализацию алгоритмов на языке Python с использованием библиотек NumPy, SciPy и Gmsh для генерации сетки.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i w:val="false"/>
          <w:i w:val="false"/>
          <w:iCs w:val="false"/>
          <w:sz w:val="24"/>
          <w:szCs w:val="24"/>
          <w:lang w:val="ru-RU"/>
        </w:rPr>
      </w:pPr>
      <w:r>
        <w:rPr>
          <w:rFonts w:cs="Times New Roman"/>
          <w:b/>
          <w:bCs/>
          <w:i w:val="false"/>
          <w:iCs w:val="false"/>
          <w:sz w:val="24"/>
          <w:szCs w:val="24"/>
          <w:lang w:val="ru-RU"/>
        </w:rPr>
        <w:t>Ключевые слова</w:t>
      </w:r>
      <w:r>
        <w:rPr>
          <w:rFonts w:cs="Times New Roman"/>
          <w:i w:val="false"/>
          <w:iCs w:val="false"/>
          <w:sz w:val="24"/>
          <w:szCs w:val="24"/>
          <w:lang w:val="ru-RU"/>
        </w:rPr>
        <w:t>: вибрационная нагрузка, метод конечных элементов, трёхмерная модель, амплитудно-частотная характеристика, тензор упругости.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rFonts w:ascii="Times New Roman" w:hAnsi="Times New Roman" w:cs="Times New Roman"/>
          <w:i/>
          <w:i/>
          <w:sz w:val="28"/>
        </w:rPr>
      </w:pPr>
      <w:r>
        <w:rPr>
          <w:rFonts w:cs="Times New Roman"/>
          <w:i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/>
          <w:sz w:val="28"/>
        </w:rPr>
      </w:r>
      <w:bookmarkStart w:id="1" w:name="_Hlk1356484991"/>
      <w:bookmarkStart w:id="2" w:name="_Hlk1356484991"/>
      <w:bookmarkEnd w:id="2"/>
      <w:r>
        <w:br w:type="page"/>
      </w:r>
    </w:p>
    <w:p>
      <w:pPr>
        <w:pStyle w:val="Normal"/>
        <w:spacing w:lineRule="auto" w:line="360" w:before="0" w:after="120"/>
        <w:ind w:left="567" w:right="567" w:firstLine="709"/>
        <w:jc w:val="center"/>
        <w:rPr>
          <w:sz w:val="32"/>
          <w:szCs w:val="32"/>
        </w:rPr>
      </w:pPr>
      <w:r>
        <w:rPr>
          <w:rFonts w:cs="Times New Roman"/>
          <w:b/>
          <w:sz w:val="32"/>
          <w:szCs w:val="32"/>
        </w:rPr>
        <w:t>Содержание</w:t>
      </w:r>
    </w:p>
    <w:sdt>
      <w:sdtPr>
        <w:docPartObj>
          <w:docPartGallery w:val="Table of Contents"/>
          <w:docPartUnique w:val="true"/>
        </w:docPartObj>
        <w:id w:val="1703465799"/>
      </w:sdtPr>
      <w:sdtContent>
        <w:p>
          <w:pPr>
            <w:pStyle w:val="Style26"/>
            <w:rPr>
              <w:sz w:val="28"/>
            </w:rPr>
          </w:pPr>
          <w:r>
            <w:rPr>
              <w:sz w:val="28"/>
            </w:rPr>
          </w:r>
        </w:p>
        <w:p>
          <w:pPr>
            <w:pStyle w:val="12"/>
            <w:tabs>
              <w:tab w:val="clear" w:pos="708"/>
              <w:tab w:val="right" w:pos="9639" w:leader="dot"/>
            </w:tabs>
            <w:rPr/>
          </w:pPr>
          <w:r>
            <w:fldChar w:fldCharType="begin"/>
          </w:r>
          <w:r>
            <w:rPr/>
            <w:instrText xml:space="preserve"> TOC \o "1-3" \h</w:instrText>
          </w:r>
          <w:r>
            <w:rPr/>
            <w:fldChar w:fldCharType="separate"/>
          </w:r>
          <w:hyperlink w:anchor="__RefHeading___Toc1468_2851463088">
            <w:r>
              <w:rPr/>
              <w:t>Введение</w:t>
              <w:tab/>
              <w:t>3</w:t>
            </w:r>
          </w:hyperlink>
        </w:p>
        <w:p>
          <w:pPr>
            <w:pStyle w:val="12"/>
            <w:tabs>
              <w:tab w:val="clear" w:pos="708"/>
              <w:tab w:val="right" w:pos="9639" w:leader="dot"/>
            </w:tabs>
            <w:rPr/>
          </w:pPr>
          <w:hyperlink w:anchor="__RefHeading___Toc1470_2851463088">
            <w:r>
              <w:rPr/>
              <w:t>Линейная теория упругости.</w:t>
              <w:tab/>
              <w:t>4</w:t>
            </w:r>
          </w:hyperlink>
          <w:r>
            <w:rPr/>
            <w:fldChar w:fldCharType="end"/>
          </w:r>
        </w:p>
      </w:sdtContent>
    </w:sdt>
    <w:p>
      <w:pPr>
        <w:pStyle w:val="Normal"/>
        <w:widowControl/>
        <w:bidi w:val="0"/>
        <w:spacing w:lineRule="auto" w:line="259" w:before="0" w:after="160"/>
        <w:jc w:val="left"/>
        <w:rPr>
          <w:rFonts w:ascii="Times New Roman" w:hAnsi="Times New Roman"/>
          <w:sz w:val="24"/>
        </w:rPr>
      </w:pPr>
      <w:r>
        <w:rPr>
          <w:sz w:val="24"/>
        </w:rPr>
      </w:r>
      <w:r>
        <w:br w:type="page"/>
      </w:r>
    </w:p>
    <w:p>
      <w:pPr>
        <w:pStyle w:val="1"/>
        <w:rPr>
          <w:sz w:val="32"/>
          <w:szCs w:val="32"/>
        </w:rPr>
      </w:pPr>
      <w:bookmarkStart w:id="3" w:name="__RefHeading___Toc1468_2851463088"/>
      <w:bookmarkStart w:id="4" w:name="_Toc137252441"/>
      <w:bookmarkStart w:id="5" w:name="_Hlk135648657"/>
      <w:bookmarkEnd w:id="3"/>
      <w:bookmarkEnd w:id="5"/>
      <w:r>
        <w:rPr>
          <w:sz w:val="32"/>
          <w:szCs w:val="32"/>
        </w:rPr>
        <w:t>Введение</w:t>
      </w:r>
      <w:bookmarkEnd w:id="4"/>
    </w:p>
    <w:p>
      <w:pPr>
        <w:pStyle w:val="Style18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cs="Times New Roman"/>
          <w:sz w:val="24"/>
          <w:szCs w:val="24"/>
        </w:rPr>
        <w:t>Рассмотрение вибрационных свойств пластинных конструкций имеет прикладное значение в авиастроении, судостроении и машиностроении. В частности, точное знание резонансных частот и форм колебаний позволяет прогнозировать потенциально опасные режимы эксплуатации.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bookmarkStart w:id="6" w:name="_Hlk1356486571"/>
      <w:bookmarkEnd w:id="6"/>
      <w:r>
        <w:rPr>
          <w:rFonts w:cs="Times New Roman"/>
          <w:sz w:val="24"/>
          <w:szCs w:val="24"/>
        </w:rPr>
        <w:t xml:space="preserve">Задачу можно решить аналитически лишь для очень простых случаев. Основным же методом для исследования данного вопроса для произвольной геометрии является численное моделирование. 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cs="Times New Roman"/>
          <w:sz w:val="24"/>
          <w:szCs w:val="24"/>
        </w:rPr>
        <w:t xml:space="preserve">Для моделирования простых объектов, таких как, пластина в основном используют различные приближения, такие как гипотеза Кирхгофа-Лява или Рейсена-Миндлина, которые сводят задачу к двумерному случаю путем исследования поведения срединной плоскости. Эти приближения довольно точные и дешевые с точки зрения вычислительных ресурсов. Однако качество решения ухудшается при увеличении толщины пластины, и кроме того, данные модели не позволяют моделировать произвольную геометрию.  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cs="Times New Roman"/>
          <w:sz w:val="24"/>
          <w:szCs w:val="24"/>
        </w:rPr>
        <w:t>Целью моей работы было решение данной задачи с использованием трехмерных уравнений динамики, а также линейной теории упругости, что дает возможность точнее исследовать напряженное состояние для достаточно произвольной геометрии.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cs="Times New Roman"/>
          <w:sz w:val="24"/>
          <w:szCs w:val="24"/>
        </w:rPr>
        <w:t>Весь код написан на языке Python с использованием пакетов Numpy и Scipy и может быть запущен на любом вычислительном устройстве.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cs="Times New Roman"/>
          <w:sz w:val="24"/>
          <w:szCs w:val="24"/>
        </w:rPr>
        <w:t>// мб накидать про layer-wise модели и их сравнение из Reddy. Надо добить до второй страницы.</w:t>
      </w:r>
      <w:r>
        <w:br w:type="page"/>
      </w:r>
    </w:p>
    <w:p>
      <w:pPr>
        <w:pStyle w:val="1"/>
        <w:spacing w:lineRule="auto" w:line="360"/>
        <w:rPr>
          <w:sz w:val="32"/>
          <w:szCs w:val="32"/>
        </w:rPr>
      </w:pPr>
      <w:bookmarkStart w:id="7" w:name="__RefHeading___Toc1470_2851463088"/>
      <w:bookmarkEnd w:id="7"/>
      <w:r>
        <w:rPr>
          <w:sz w:val="32"/>
          <w:szCs w:val="32"/>
        </w:rPr>
        <w:t>Линейная теория упругости.</w:t>
      </w:r>
    </w:p>
    <w:p>
      <w:pPr>
        <w:pStyle w:val="Normal"/>
        <w:spacing w:lineRule="auto" w:line="360"/>
        <w:ind w:left="0" w:right="0" w:firstLine="850"/>
        <w:jc w:val="both"/>
        <w:rPr>
          <w:sz w:val="24"/>
          <w:szCs w:val="24"/>
        </w:rPr>
      </w:pPr>
      <w:r>
        <w:rPr>
          <w:sz w:val="24"/>
          <w:szCs w:val="24"/>
        </w:rPr>
        <w:t>Интерес представляет решение задачи в приближении малых деформаций, поэтому в данной работе используется линейная теория упругости. Во многих учебниках по механике твердого деформируемого тела представлены основные уравнения теории упругости. Приведу их краткое изложение.</w:t>
      </w:r>
    </w:p>
    <w:p>
      <w:pPr>
        <w:pStyle w:val="Normal"/>
        <w:spacing w:lineRule="auto" w:line="360"/>
        <w:ind w:left="0" w:right="0" w:firstLine="850"/>
        <w:jc w:val="both"/>
        <w:rPr>
          <w:sz w:val="24"/>
        </w:rPr>
      </w:pPr>
      <w:r>
        <w:rPr>
          <w:sz w:val="24"/>
          <w:szCs w:val="24"/>
        </w:rPr>
        <w:t>Для описания напряженного состояния вводится вектор напряжения как предел отношения силы к площади поверхности:</w:t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func>
                  <m:fName>
                    <m:limLow>
                      <m:e>
                        <m:r>
                          <w:rPr>
                            <w:rFonts w:ascii="Cambria Math" w:hAnsi="Cambria Math"/>
                          </w:rPr>
                          <m:t xml:space="preserve">lim</m:t>
                        </m:r>
                      </m:e>
                      <m:lim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  <m:r>
                          <w:rPr>
                            <w:rFonts w:ascii="Cambria Math" w:hAnsi="Cambria Math"/>
                          </w:rPr>
                          <m:t xml:space="preserve">→</m:t>
                        </m:r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lim>
                    </m:limLow>
                  </m:fName>
                  <m:e>
                    <m:f>
                      <m:num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f</m:t>
                            </m:r>
                          </m:e>
                        </m:acc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</m:den>
                    </m:f>
                  </m:e>
                </m:func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(1)</w:t>
            </w:r>
          </w:p>
        </w:tc>
      </w:tr>
    </w:tbl>
    <w:p>
      <w:pPr>
        <w:pStyle w:val="Normal"/>
        <w:spacing w:lineRule="auto" w:line="360" w:before="0" w:after="120"/>
        <w:ind w:right="567" w:hanging="0"/>
        <w:jc w:val="both"/>
        <w:rPr>
          <w:rFonts w:ascii="Times New Roman" w:hAnsi="Times New Roman" w:eastAsia="" w:cs="Times New Roman" w:eastAsiaTheme="minorEastAsia"/>
          <w:b/>
          <w:b/>
          <w:bCs/>
          <w:sz w:val="28"/>
        </w:rPr>
      </w:pPr>
      <w:r>
        <w:rPr>
          <w:rFonts w:eastAsia="" w:cs="Times New Roman" w:eastAsiaTheme="minorEastAsia"/>
          <w:b/>
          <w:bCs/>
          <w:sz w:val="28"/>
        </w:rPr>
      </w:r>
    </w:p>
    <w:p>
      <w:pPr>
        <w:pStyle w:val="Normal"/>
        <w:spacing w:lineRule="auto" w:line="360" w:before="0" w:after="120"/>
        <w:ind w:right="567" w:hanging="0"/>
        <w:jc w:val="both"/>
        <w:rPr>
          <w:rFonts w:ascii="Times New Roman" w:hAnsi="Times New Roman" w:eastAsia="" w:cs="Times New Roman" w:eastAsiaTheme="minorEastAsia"/>
          <w:b w:val="false"/>
          <w:b w:val="false"/>
          <w:bCs w:val="false"/>
          <w:sz w:val="24"/>
          <w:szCs w:val="24"/>
        </w:rPr>
      </w:pPr>
      <w:r>
        <w:rPr>
          <w:rFonts w:eastAsia="" w:cs="Times New Roman" w:eastAsiaTheme="minorEastAsia"/>
          <w:b w:val="false"/>
          <w:bCs w:val="false"/>
          <w:sz w:val="24"/>
          <w:szCs w:val="24"/>
        </w:rPr>
        <w:t>Для данного вектора применяется постулат Коши, который гласит, что этот вектор зависит только от координаты и нормали к поверхности:</w:t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acc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</m:acc>
                  </m:e>
                </m:d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(2)</w:t>
            </w:r>
          </w:p>
        </w:tc>
      </w:tr>
    </w:tbl>
    <w:p>
      <w:pPr>
        <w:pStyle w:val="Normal"/>
        <w:spacing w:lineRule="auto" w:line="360" w:before="0" w:after="120"/>
        <w:ind w:right="567" w:hanging="0"/>
        <w:jc w:val="center"/>
        <w:rPr/>
      </w:pPr>
      <w:r>
        <w:rPr/>
      </w:r>
    </w:p>
    <w:p>
      <w:pPr>
        <w:pStyle w:val="Normal"/>
        <w:spacing w:lineRule="auto" w:line="360" w:before="0" w:after="120"/>
        <w:ind w:right="567" w:hanging="0"/>
        <w:jc w:val="both"/>
        <w:rPr/>
      </w:pPr>
      <w:r>
        <w:rPr/>
        <w:t>Также существует лемма Коши:</w:t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acc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acc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−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</m:acc>
                  </m:e>
                </m:d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(3)</w:t>
            </w:r>
          </w:p>
        </w:tc>
      </w:tr>
    </w:tbl>
    <w:p>
      <w:pPr>
        <w:pStyle w:val="Normal"/>
        <w:spacing w:lineRule="auto" w:line="360" w:before="0" w:after="120"/>
        <w:ind w:right="567" w:hanging="0"/>
        <w:rPr>
          <w:bCs/>
          <w:iCs/>
          <w:szCs w:val="24"/>
        </w:rPr>
      </w:pPr>
      <w:r>
        <w:rPr>
          <w:bCs/>
          <w:iCs/>
          <w:szCs w:val="24"/>
        </w:rPr>
      </w:r>
    </w:p>
    <w:p>
      <w:pPr>
        <w:pStyle w:val="Normal"/>
        <w:spacing w:lineRule="auto" w:line="360" w:before="0" w:after="120"/>
        <w:ind w:left="0" w:right="567" w:firstLine="850"/>
        <w:jc w:val="both"/>
        <w:rPr>
          <w:rFonts w:ascii="Times New Roman" w:hAnsi="Times New Roman" w:eastAsia="" w:cs="Times New Roman" w:eastAsiaTheme="minorEastAsia"/>
          <w:sz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>Для дальнейшего рассмотрения удобнее использовать тензоры. В механике сплошных сред в основном используются тензоры второго и четвертого рангов. Тензор второго ранга можно определить как линейный оператор над пространством векторов. Тензор четвертого ранга, в свою очередь, это линейный оператор над пространством тензоров второго ранга. Все вместе позволяет сформировать фундаментальную теорему Коши в виде:</w:t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σ</m:t>
                </m:r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</m:acc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(4)</w:t>
            </w:r>
          </w:p>
        </w:tc>
      </w:tr>
    </w:tbl>
    <w:p>
      <w:pPr>
        <w:pStyle w:val="Normal"/>
        <w:spacing w:lineRule="auto" w:line="360" w:before="0" w:after="120"/>
        <w:ind w:right="567" w:hanging="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 xml:space="preserve">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σ</m:t>
        </m:r>
        <m:d>
          <m:dPr>
            <m:begChr m:val="("/>
            <m:endChr m:val=")"/>
          </m:dPr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acc>
          </m:e>
        </m:d>
      </m:oMath>
      <w:r>
        <w:rPr>
          <w:rFonts w:eastAsia="" w:cs="Times New Roman" w:eastAsiaTheme="minorEastAsia"/>
          <w:bCs/>
          <w:iCs/>
          <w:sz w:val="24"/>
          <w:szCs w:val="24"/>
        </w:rPr>
        <w:t>- это тензор напряжений Коши. /</w:t>
      </w:r>
      <w:r>
        <w:rPr>
          <w:rFonts w:eastAsia="" w:cs="Times New Roman" w:eastAsiaTheme="minorEastAsia"/>
          <w:bCs/>
          <w:iCs/>
          <w:color w:val="C9211E"/>
          <w:sz w:val="24"/>
          <w:szCs w:val="24"/>
        </w:rPr>
        <w:t>/ умножать справа или слева?</w:t>
      </w:r>
    </w:p>
    <w:p>
      <w:pPr>
        <w:pStyle w:val="Normal"/>
        <w:spacing w:lineRule="auto" w:line="360" w:before="0" w:after="120"/>
        <w:ind w:left="0" w:right="567" w:firstLine="85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>Приведу некоторые свойства данного тензора:</w:t>
      </w:r>
    </w:p>
    <w:p>
      <w:pPr>
        <w:pStyle w:val="Normal"/>
        <w:spacing w:lineRule="auto" w:line="360" w:before="0" w:after="120"/>
        <w:ind w:right="567" w:hanging="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>1. Из равенства моментов, действующих на тело, следует следует симметричность данного тензора:</w:t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σ</m:t>
                </m:r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σ</m:t>
                </m:r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e>
                        </m:acc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(5)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360" w:before="0" w:after="120"/>
        <w:ind w:left="0" w:right="567" w:hanging="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</w:r>
    </w:p>
    <w:p>
      <w:pPr>
        <w:pStyle w:val="Normal"/>
        <w:widowControl/>
        <w:numPr>
          <w:ilvl w:val="0"/>
          <w:numId w:val="0"/>
        </w:numPr>
        <w:suppressAutoHyphens w:val="true"/>
        <w:bidi w:val="0"/>
        <w:spacing w:lineRule="auto" w:line="360" w:before="0" w:after="120"/>
        <w:ind w:left="0" w:right="567" w:hanging="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>2. Каждому тензору соответствует матрица. Диагональные элементы матрицы тензора напряжения соответствуют сжимающим или разрывающим напряжениям. Недиагональные элементы соответствуют сдвиговым напряжениям.</w:t>
      </w:r>
    </w:p>
    <w:p>
      <w:pPr>
        <w:pStyle w:val="Normal"/>
        <w:widowControl/>
        <w:suppressAutoHyphens w:val="true"/>
        <w:bidi w:val="0"/>
        <w:spacing w:lineRule="auto" w:line="360" w:before="0" w:after="120"/>
        <w:ind w:left="0" w:right="567" w:firstLine="85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color w:val="C9211E"/>
          <w:sz w:val="24"/>
          <w:szCs w:val="24"/>
        </w:rPr>
        <w:t>?</w:t>
      </w:r>
      <w:r>
        <w:rPr>
          <w:rFonts w:eastAsia="" w:cs="Times New Roman" w:eastAsiaTheme="minorEastAsia"/>
          <w:bCs/>
          <w:iCs/>
          <w:color w:val="000000"/>
          <w:sz w:val="24"/>
          <w:szCs w:val="24"/>
        </w:rPr>
        <w:t>Д</w:t>
      </w:r>
      <w:r>
        <w:rPr>
          <w:rFonts w:eastAsia="" w:cs="Times New Roman" w:eastAsiaTheme="minorEastAsia"/>
          <w:bCs/>
          <w:iCs/>
          <w:sz w:val="24"/>
          <w:szCs w:val="24"/>
        </w:rPr>
        <w:t>алее для отображения напряженного состояния на реакцию вводится отсчетная и текущая конфигурации. С отсчетной конфигурацией будем связывать положение тела в начальный момент времени, с текущей — в момент времени t.</w:t>
      </w:r>
    </w:p>
    <w:p>
      <w:pPr>
        <w:pStyle w:val="Normal"/>
        <w:spacing w:lineRule="auto" w:line="360" w:before="0" w:after="120"/>
        <w:ind w:right="567" w:hanging="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137160</wp:posOffset>
            </wp:positionH>
            <wp:positionV relativeFrom="paragraph">
              <wp:posOffset>-24765</wp:posOffset>
            </wp:positionV>
            <wp:extent cx="5828665" cy="352234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6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κ</m:t>
                </m:r>
                <m:r>
                  <w:rPr>
                    <w:rFonts w:ascii="Cambria Math" w:hAnsi="Cambria Math"/>
                  </w:rPr>
                  <m:t xml:space="preserve">: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acc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</m:e>
                </m:d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χ</m:t>
                </m:r>
                <m:r>
                  <w:rPr>
                    <w:rFonts w:ascii="Cambria Math" w:hAnsi="Cambria Math"/>
                  </w:rPr>
                  <m:t xml:space="preserve">: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acc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(6)</w:t>
            </w:r>
          </w:p>
        </w:tc>
      </w:tr>
    </w:tbl>
    <w:p>
      <w:pPr>
        <w:pStyle w:val="Normal"/>
        <w:jc w:val="both"/>
        <w:rPr/>
      </w:pPr>
      <w:r>
        <w:rPr/>
        <w:t xml:space="preserve">Где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x</m:t>
            </m:r>
          </m:e>
        </m:acc>
      </m:oMath>
      <w:r>
        <w:rPr/>
        <w:t xml:space="preserve"> - положение материальной точки в отсчетной конфигурации,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r</m:t>
            </m:r>
          </m:e>
        </m:acc>
      </m:oMath>
      <w:r>
        <w:rPr/>
        <w:t xml:space="preserve"> - в текущей.</w:t>
      </w:r>
    </w:p>
    <w:p>
      <w:pPr>
        <w:pStyle w:val="Normal"/>
        <w:spacing w:lineRule="auto" w:line="360" w:before="0" w:after="120"/>
        <w:ind w:left="0" w:right="567" w:firstLine="85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 xml:space="preserve">Вводится тензор дисторсии F как: </w:t>
      </w:r>
    </w:p>
    <w:p>
      <w:pPr>
        <w:pStyle w:val="Normal"/>
        <w:spacing w:lineRule="auto" w:line="360" w:before="0" w:after="120"/>
        <w:ind w:right="567" w:hanging="0"/>
        <w:jc w:val="both"/>
        <w:rPr>
          <w:rFonts w:ascii="Times New Roman" w:hAnsi="Times New Roman" w:eastAsia="" w:cs="Times New Roman" w:eastAsiaTheme="minorEastAsia"/>
          <w:bCs/>
          <w:iCs/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d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r</m:t>
                    </m:r>
                  </m:e>
                </m:acc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d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F</m:t>
                </m:r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(7)</w:t>
            </w:r>
          </w:p>
        </w:tc>
      </w:tr>
    </w:tbl>
    <w:p>
      <w:pPr>
        <w:pStyle w:val="Normal"/>
        <w:ind w:left="0" w:right="0" w:firstLine="850"/>
        <w:jc w:val="both"/>
        <w:rPr/>
      </w:pPr>
      <w:r>
        <w:rPr/>
        <w:t xml:space="preserve">Определим вектор перемещения из равенства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r</m:t>
            </m:r>
          </m:e>
        </m:acc>
        <m:r>
          <w:rPr>
            <w:rFonts w:ascii="Cambria Math" w:hAnsi="Cambria Math"/>
          </w:rPr>
          <m:t xml:space="preserve">=</m:t>
        </m:r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x</m:t>
            </m:r>
          </m:e>
        </m:acc>
        <m:r>
          <w:rPr>
            <w:rFonts w:ascii="Cambria Math" w:hAnsi="Cambria Math"/>
          </w:rPr>
          <m:t xml:space="preserve">+</m:t>
        </m:r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u</m:t>
            </m:r>
          </m:e>
        </m:acc>
      </m:oMath>
      <w:r>
        <w:rPr/>
        <w:t>. Тогда можно показать, что</w:t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κ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⊗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(8)</w:t>
            </w:r>
          </w:p>
        </w:tc>
      </w:tr>
    </w:tbl>
    <w:p>
      <w:pPr>
        <w:pStyle w:val="Normal"/>
        <w:jc w:val="both"/>
        <w:rPr/>
      </w:pPr>
      <w:r>
        <w:rPr/>
        <w:t xml:space="preserve">Где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</m:oMath>
      <w:r>
        <w:rPr/>
        <w:t xml:space="preserve">- единичный тензор,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∇</m:t>
            </m:r>
          </m:e>
          <m:sub>
            <m:r>
              <w:rPr>
                <w:rFonts w:ascii="Cambria Math" w:hAnsi="Cambria Math"/>
              </w:rPr>
              <m:t xml:space="preserve">κ</m:t>
            </m:r>
          </m:sub>
        </m:sSub>
        <m:r>
          <w:rPr>
            <w:rFonts w:ascii="Cambria Math" w:hAnsi="Cambria Math"/>
          </w:rPr>
          <m:t xml:space="preserve">⊗</m:t>
        </m:r>
      </m:oMath>
      <w:r>
        <w:rPr/>
        <w:t xml:space="preserve"> - обозначение градиента тензорного поля. Далее нам потребуется формула:</w:t>
      </w:r>
    </w:p>
    <w:tbl>
      <w:tblPr>
        <w:tblW w:w="10352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4"/>
        <w:gridCol w:w="397"/>
      </w:tblGrid>
      <w:tr>
        <w:trPr/>
        <w:tc>
          <w:tcPr>
            <w:tcW w:w="9954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⋅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κ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⊗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κ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⊗</m:t>
                </m:r>
                <m:sSup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κ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⊗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⋅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∇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κ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⊗</m:t>
                </m:r>
                <m:sSup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</m:oMath>
            </m:oMathPara>
          </w:p>
        </w:tc>
        <w:tc>
          <w:tcPr>
            <w:tcW w:w="397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(9)</w:t>
            </w:r>
          </w:p>
        </w:tc>
      </w:tr>
    </w:tbl>
    <w:p>
      <w:pPr>
        <w:pStyle w:val="Normal"/>
        <w:jc w:val="both"/>
        <w:rPr/>
      </w:pPr>
      <w:r>
        <w:rPr/>
        <w:t xml:space="preserve">Что в случае линейной теории дает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⋅</m:t>
        </m:r>
        <m:sSup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T</m:t>
            </m:r>
          </m:sup>
        </m:sSup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I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∇</m:t>
            </m:r>
          </m:e>
          <m:sub>
            <m:r>
              <w:rPr>
                <w:rFonts w:ascii="Cambria Math" w:hAnsi="Cambria Math"/>
              </w:rPr>
              <m:t xml:space="preserve">κ</m:t>
            </m:r>
          </m:sub>
        </m:sSub>
        <m:r>
          <w:rPr>
            <w:rFonts w:ascii="Cambria Math" w:hAnsi="Cambria Math"/>
          </w:rPr>
          <m:t xml:space="preserve">⊗</m:t>
        </m:r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u</m:t>
            </m:r>
          </m:e>
        </m:acc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∇</m:t>
            </m:r>
          </m:e>
          <m:sub>
            <m:r>
              <w:rPr>
                <w:rFonts w:ascii="Cambria Math" w:hAnsi="Cambria Math"/>
              </w:rPr>
              <m:t xml:space="preserve">κ</m:t>
            </m:r>
          </m:sub>
        </m:sSub>
        <m:r>
          <w:rPr>
            <w:rFonts w:ascii="Cambria Math" w:hAnsi="Cambria Math"/>
          </w:rPr>
          <m:t xml:space="preserve">⊗</m:t>
        </m:r>
        <m:sSup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</m:acc>
          </m:e>
          <m:sup>
            <m:r>
              <w:rPr>
                <w:rFonts w:ascii="Cambria Math" w:hAnsi="Cambria Math"/>
              </w:rPr>
              <m:t xml:space="preserve">T</m:t>
            </m:r>
          </m:sup>
        </m:sSup>
      </m:oMath>
    </w:p>
    <w:p>
      <w:pPr>
        <w:pStyle w:val="Normal"/>
        <w:ind w:left="0" w:right="0" w:firstLine="850"/>
        <w:jc w:val="both"/>
        <w:rPr/>
      </w:pPr>
      <w:r>
        <w:rPr/>
        <w:t>Необходимо также ввести тензор малых деформаций. Для этого рассмотрим коэффициент удлинения: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d>
                      <m:dPr>
                        <m:begChr m:val="|"/>
                        <m:endChr m:val="|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d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r</m:t>
                            </m:r>
                          </m:e>
                        </m:acc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d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e>
                        </m:acc>
                      </m:e>
                    </m:d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⋅</m:t>
                    </m:r>
                    <m:r>
                      <w:rPr>
                        <w:rFonts w:ascii="Cambria Math" w:hAnsi="Cambria Math"/>
                      </w:rPr>
                      <m:t xml:space="preserve">F</m:t>
                    </m:r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p>
                    </m:sSup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e>
                    </m:acc>
                  </m:e>
                </m:rad>
                <m:r>
                  <w:rPr>
                    <w:rFonts w:ascii="Cambria Math" w:hAnsi="Cambria Math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w:rPr>
                        <w:rFonts w:ascii="Cambria Math" w:hAnsi="Cambria Math"/>
                      </w:rPr>
                      <m:t xml:space="preserve">+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⋅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∇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κ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⊗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</m:acc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∇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κ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⊗</m:t>
                        </m:r>
                        <m:sSup>
                          <m:e>
                            <m:acc>
                              <m:accPr>
                                <m:chr m:val="⃗"/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u</m:t>
                                </m:r>
                              </m:e>
                            </m:acc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</w:rPr>
                      <m:t xml:space="preserve">⋅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e>
                    </m:acc>
                  </m:e>
                </m:rad>
                <m:r>
                  <w:rPr>
                    <w:rFonts w:ascii="Cambria Math" w:hAnsi="Cambria Math"/>
                  </w:rPr>
                  <m:t xml:space="preserve">≈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+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ε</m:t>
                </m:r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</m:acc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(10)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ε</m:t>
                </m:r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</m:den>
                </m:f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∇</m:t>
                    </m:r>
                    <m:r>
                      <w:rPr>
                        <w:rFonts w:ascii="Cambria Math" w:hAnsi="Cambria Math"/>
                      </w:rPr>
                      <m:t xml:space="preserve">⊗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∇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⊗</m:t>
                            </m:r>
                            <m:acc>
                              <m:accPr>
                                <m:chr m:val="⃗"/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u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(11)</w:t>
            </w:r>
          </w:p>
        </w:tc>
      </w:tr>
    </w:tbl>
    <w:p>
      <w:pPr>
        <w:pStyle w:val="Normal"/>
        <w:jc w:val="both"/>
        <w:rPr/>
      </w:pPr>
      <w:r>
        <w:rPr/>
        <w:t xml:space="preserve">Где было использовано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x</m:t>
            </m:r>
          </m:e>
        </m:acc>
        <m:r>
          <w:rPr>
            <w:rFonts w:ascii="Cambria Math" w:hAnsi="Cambria Math"/>
          </w:rPr>
          <m:t xml:space="preserve">=</m:t>
        </m:r>
        <m:d>
          <m:dPr>
            <m:begChr m:val="|"/>
            <m:endChr m:val="|"/>
          </m:dPr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acc>
          </m:e>
        </m:d>
        <m:r>
          <w:rPr>
            <w:rFonts w:ascii="Cambria Math" w:hAnsi="Cambria Math"/>
          </w:rPr>
          <m:t xml:space="preserve">⋅</m:t>
        </m:r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e</m:t>
            </m:r>
          </m:e>
        </m:acc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ε</m:t>
        </m:r>
      </m:oMath>
      <w:r>
        <w:rPr/>
        <w:t>- тензор малых деформаций.</w:t>
      </w:r>
    </w:p>
    <w:p>
      <w:pPr>
        <w:pStyle w:val="Normal"/>
        <w:ind w:left="0" w:right="0" w:firstLine="850"/>
        <w:jc w:val="both"/>
        <w:rPr/>
      </w:pPr>
      <w:r>
        <w:rPr/>
        <w:t>Аналогично тензору напряжений, диагональные элементы матрицы тензора малых деформаций соответствуют деформациям растяжения или сжатия, недиагональные — деформациям сдвига. Кроме того, он по построению симметричен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left="0" w:right="0" w:firstLine="850"/>
        <w:jc w:val="both"/>
        <w:rPr>
          <w:rFonts w:eastAsia="" w:cs="Times New Roman" w:eastAsiaTheme="minorEastAsia"/>
          <w:iCs/>
          <w:sz w:val="24"/>
          <w:szCs w:val="24"/>
          <w:lang w:val="en-US"/>
        </w:rPr>
      </w:pPr>
      <w:r>
        <w:rPr>
          <w:color w:val="FF0000"/>
        </w:rPr>
        <w:t>Расширить</w:t>
      </w:r>
      <w:r>
        <w:rPr/>
        <w:t xml:space="preserve"> Определяющее соотношение получается из второго начала термодинамики и носит название закона Гука: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left="0" w:right="0" w:firstLine="850"/>
        <w:jc w:val="both"/>
        <w:rPr>
          <w:color w:val="000000"/>
        </w:rPr>
      </w:pPr>
      <w:r>
        <w:rPr>
          <w:color w:val="000000"/>
        </w:rPr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σ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:</m:t>
                </m:r>
                <m:r>
                  <w:rPr>
                    <w:rFonts w:ascii="Cambria Math" w:hAnsi="Cambria Math"/>
                  </w:rPr>
                  <m:t xml:space="preserve">ε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(12)</w:t>
            </w:r>
          </w:p>
        </w:tc>
      </w:tr>
    </w:tbl>
    <w:p>
      <w:pPr>
        <w:pStyle w:val="Normal"/>
        <w:jc w:val="both"/>
        <w:rPr/>
      </w:pPr>
      <w:r>
        <w:rPr/>
        <w:t>Где C — тензор упругих модулей. Это тензор четвертого ранга, который, исходя из закона Гука и свойств тензоров напряжения и малых деформаций, обладает симметрией: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ijkm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ijmk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jikm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kmij</m:t>
                    </m:r>
                  </m:sub>
                </m:sSub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0" w:right="0" w:firstLine="850"/>
        <w:jc w:val="both"/>
        <w:rPr/>
      </w:pPr>
      <w:r>
        <w:rPr/>
        <w:t xml:space="preserve">Таким образом, у данного тензора двадцать одна независимая компонента. Однако, учитывая принцип объективности и симметрию, для изотропного тела тензор упругих модулей зависит всего от двух констант — параметров Ламе, и закон Гука можно представить в более простой форме: </w:t>
      </w:r>
      <w:r>
        <w:rPr>
          <w:color w:val="C9211E"/>
        </w:rPr>
        <w:t>?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505" w:hRule="atLeast"/>
        </w:trPr>
        <w:tc>
          <w:tcPr>
            <w:tcW w:w="9956" w:type="dxa"/>
            <w:tcBorders/>
          </w:tcPr>
          <w:p>
            <w:pPr>
              <w:pStyle w:val="Normal"/>
              <w:widowControl w:val="false"/>
              <w:spacing w:lineRule="auto" w:line="360" w:before="0" w:after="120"/>
              <w:ind w:left="567" w:right="567" w:firstLine="709"/>
              <w:jc w:val="center"/>
              <w:rPr>
                <w:rFonts w:ascii="Times New Roman" w:hAnsi="Times New Roman" w:eastAsia="" w:cs="Times New Roman" w:eastAsiaTheme="minorEastAsia"/>
                <w:b/>
                <w:b/>
                <w:sz w:val="28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σ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λ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:</m:t>
                    </m:r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</m:d>
                <m:r>
                  <w:rPr>
                    <w:rFonts w:ascii="Cambria Math" w:hAnsi="Cambria Math"/>
                  </w:rPr>
                  <m:t xml:space="preserve">I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w:rPr>
                    <w:rFonts w:ascii="Cambria Math" w:hAnsi="Cambria Math"/>
                  </w:rPr>
                  <m:t xml:space="preserve">μ</m:t>
                </m:r>
                <m:r>
                  <w:rPr>
                    <w:rFonts w:ascii="Cambria Math" w:hAnsi="Cambria Math"/>
                  </w:rPr>
                  <m:t xml:space="preserve">ε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(14)</w:t>
            </w:r>
          </w:p>
        </w:tc>
      </w:tr>
    </w:tbl>
    <w:p>
      <w:pPr>
        <w:pStyle w:val="Normal"/>
        <w:ind w:left="0" w:right="0" w:firstLine="850"/>
        <w:jc w:val="both"/>
        <w:rPr/>
      </w:pPr>
      <w:r>
        <w:rPr/>
        <w:t>Для дальнейшего рассмотрения полезно отметить, что учитывая симметрию введенных выше тензоров их можно рассматривать как векторы и перейти таким образов к нотации Фойхта: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ω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σ</m:t>
                </m:r>
                <m:r>
                  <w:rPr>
                    <w:rFonts w:ascii="Cambria Math" w:hAnsi="Cambria Math"/>
                  </w:rPr>
                  <m:t xml:space="preserve">=</m:t>
                </m:r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xx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yy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zz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xy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yz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xz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ε</m:t>
                </m:r>
                <m:r>
                  <w:rPr>
                    <w:rFonts w:ascii="Cambria Math" w:hAnsi="Cambria Math"/>
                  </w:rPr>
                  <m:t xml:space="preserve">=</m:t>
                </m:r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v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ω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v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v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ω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ω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∂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ν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−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ν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−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ν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−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ν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59" w:before="0" w:after="160"/>
        <w:ind w:left="0" w:right="0" w:firstLine="850"/>
        <w:jc w:val="both"/>
        <w:rPr/>
      </w:pPr>
      <w:r>
        <w:rPr/>
        <w:t xml:space="preserve">Не хватает только динамического уравнения,  которое будет описывать движение тела. Это уравнение получается из принципа Гамильтона, </w:t>
      </w:r>
      <w:r>
        <w:rPr>
          <w:color w:val="000000"/>
        </w:rPr>
        <w:t>который</w:t>
      </w:r>
      <w:r>
        <w:rPr/>
        <w:t xml:space="preserve"> может быть математически  сформулирован в следующим образом: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505" w:hRule="atLeast"/>
        </w:trPr>
        <w:tc>
          <w:tcPr>
            <w:tcW w:w="9956" w:type="dxa"/>
            <w:tcBorders/>
          </w:tcPr>
          <w:p>
            <w:pPr>
              <w:pStyle w:val="Normal"/>
              <w:widowControl w:val="false"/>
              <w:spacing w:lineRule="auto" w:line="360" w:before="0" w:after="120"/>
              <w:ind w:left="567" w:right="567" w:firstLine="709"/>
              <w:jc w:val="center"/>
              <w:rPr>
                <w:rFonts w:ascii="Times New Roman" w:hAnsi="Times New Roman" w:eastAsia="" w:cs="Times New Roman" w:eastAsiaTheme="minorEastAsia"/>
                <w:b/>
                <w:b/>
                <w:sz w:val="28"/>
              </w:rPr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δ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 xml:space="preserve">L</m:t>
                    </m:r>
                  </m:e>
                </m:nary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∇</m:t>
                    </m:r>
                    <m:r>
                      <w:rPr>
                        <w:rFonts w:ascii="Cambria Math" w:hAnsi="Cambria Math"/>
                      </w:rPr>
                      <m:t xml:space="preserve">⊗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˙"/>
                      </m:acc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</m:acc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dt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(15)</w:t>
            </w:r>
          </w:p>
        </w:tc>
      </w:tr>
    </w:tbl>
    <w:p>
      <w:pPr>
        <w:pStyle w:val="Normal"/>
        <w:jc w:val="both"/>
        <w:rPr/>
      </w:pPr>
      <w:r>
        <w:rPr/>
        <w:t xml:space="preserve">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L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K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Π</m:t>
        </m:r>
      </m:oMath>
      <w:r>
        <w:rPr/>
        <w:t xml:space="preserve">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</m:oMath>
      <w:r>
        <w:rPr/>
        <w:t xml:space="preserve">- кинетическая энергия тела,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Π</m:t>
        </m:r>
      </m:oMath>
      <w:r>
        <w:rPr/>
        <w:t xml:space="preserve">- потенциальная, она может быть представлена как сумма потенциальной энергии внешних сил и энергии напряженного состояния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Π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U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V</m:t>
        </m:r>
      </m:oMath>
      <w:r>
        <w:rPr/>
        <w:t>.</w:t>
      </w:r>
    </w:p>
    <w:p>
      <w:pPr>
        <w:pStyle w:val="Normal"/>
        <w:ind w:left="0" w:right="0" w:firstLine="850"/>
        <w:jc w:val="both"/>
        <w:rPr/>
      </w:pPr>
      <w:r>
        <w:rPr/>
        <w:t xml:space="preserve">Для идеально-упругого тела существует функция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ε</m:t>
            </m:r>
          </m:e>
        </m:d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U</m:t>
        </m:r>
        <m:r>
          <w:rPr>
            <w:rFonts w:ascii="Cambria Math" w:hAnsi="Cambria Math"/>
          </w:rPr>
          <m:t xml:space="preserve">=</m:t>
        </m:r>
        <m:nary>
          <m:naryPr>
            <m:chr m:val="∫"/>
            <m:subHide m:val="1"/>
            <m:supHide m:val="1"/>
          </m:naryPr>
          <m:sub/>
          <m:sup/>
          <m:e>
            <m:sSub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</m:e>
        </m:nary>
        <m:r>
          <w:rPr>
            <w:rFonts w:ascii="Cambria Math" w:hAnsi="Cambria Math"/>
          </w:rPr>
          <m:t xml:space="preserve">dV</m:t>
        </m:r>
      </m:oMath>
      <w:r>
        <w:rPr/>
        <w:t xml:space="preserve"> такая что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σ</m:t>
                </m:r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ε</m:t>
                    </m:r>
                  </m:den>
                </m:f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(16)</w:t>
            </w:r>
          </w:p>
        </w:tc>
      </w:tr>
    </w:tbl>
    <w:p>
      <w:pPr>
        <w:pStyle w:val="Normal"/>
        <w:ind w:left="0" w:right="0" w:firstLine="850"/>
        <w:jc w:val="both"/>
        <w:rPr>
          <w:color w:val="C9211E"/>
        </w:rPr>
      </w:pPr>
      <w:r>
        <w:rPr>
          <w:color w:val="C9211E"/>
        </w:rPr>
        <w:t xml:space="preserve">? </w:t>
      </w:r>
      <w:r>
        <w:rPr>
          <w:color w:val="000000"/>
        </w:rPr>
        <w:t xml:space="preserve">Вариация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δ</m:t>
        </m:r>
        <m:r>
          <w:rPr>
            <w:rFonts w:ascii="Cambria Math" w:hAnsi="Cambria Math"/>
          </w:rPr>
          <m:t xml:space="preserve">V</m:t>
        </m:r>
      </m:oMath>
      <w:r>
        <w:rPr>
          <w:color w:val="000000"/>
        </w:rPr>
        <w:t>может быть выражения через объемные и контактные силы: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δ</m:t>
                </m:r>
                <m:r>
                  <w:rPr>
                    <w:rFonts w:ascii="Cambria Math" w:hAnsi="Cambria Math"/>
                  </w:rPr>
                  <m:t xml:space="preserve">V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</m:acc>
                  </m:e>
                </m:nary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δ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dV</m:t>
                </m:r>
                <m:r>
                  <w:rPr>
                    <w:rFonts w:ascii="Cambria Math" w:hAnsi="Cambria Math"/>
                  </w:rPr>
                  <m:t xml:space="preserve">+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</m:acc>
                  </m:e>
                </m:nary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δ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dS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jc w:val="both"/>
        <w:rPr>
          <w:color w:val="C9211E"/>
        </w:rPr>
      </w:pPr>
      <w:r>
        <w:rPr>
          <w:color w:val="000000"/>
        </w:rPr>
        <w:t>Кинетическая энергия определяется как: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ρ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den>
                    </m:f>
                  </m:e>
                </m:nary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</m:den>
                </m:f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dV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jc w:val="both"/>
        <w:rPr>
          <w:color w:val="C9211E"/>
        </w:rPr>
      </w:pPr>
      <w:r>
        <w:rPr>
          <w:color w:val="000000"/>
        </w:rPr>
        <w:t>После подстановки всех выражений в (15) и интегрирования по частям получаем уравнение динамики в следующей форме: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ρ</m:t>
                </m:r>
                <m:acc>
                  <m:accPr>
                    <m:chr m:val="¨"/>
                  </m:acc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</m:acc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∇</m:t>
                </m:r>
                <m:r>
                  <w:rPr>
                    <w:rFonts w:ascii="Cambria Math" w:hAnsi="Cambria Math"/>
                  </w:rPr>
                  <m:t xml:space="preserve">⋅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  <m:r>
                      <w:rPr>
                        <w:rFonts w:ascii="Cambria Math" w:hAnsi="Cambria Math"/>
                      </w:rPr>
                      <m:t xml:space="preserve">:</m:t>
                    </m:r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before="0" w:after="160"/>
        <w:ind w:left="0" w:right="0" w:hanging="0"/>
        <w:jc w:val="both"/>
        <w:rPr>
          <w:color w:val="C9211E"/>
        </w:rPr>
      </w:pPr>
      <w:r>
        <w:rPr>
          <w:color w:val="000000"/>
        </w:rPr>
        <w:t xml:space="preserve">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∇</m:t>
        </m:r>
        <m:r>
          <w:rPr>
            <w:rFonts w:ascii="Cambria Math" w:hAnsi="Cambria Math"/>
          </w:rPr>
          <m:t xml:space="preserve">⋅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C</m:t>
            </m:r>
            <m:r>
              <w:rPr>
                <w:rFonts w:ascii="Cambria Math" w:hAnsi="Cambria Math"/>
              </w:rPr>
              <m:t xml:space="preserve">:</m:t>
            </m:r>
            <m:r>
              <w:rPr>
                <w:rFonts w:ascii="Cambria Math" w:hAnsi="Cambria Math"/>
              </w:rPr>
              <m:t xml:space="preserve">ε</m:t>
            </m:r>
          </m:e>
        </m:d>
      </m:oMath>
      <w:r>
        <w:rPr>
          <w:color w:val="000000"/>
        </w:rPr>
        <w:t>означает дивергенцию данного произведения. В нотации Фойхта данное выражение можно переписать в следующем виде: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ρ</m:t>
                </m:r>
                <m:acc>
                  <m:accPr>
                    <m:chr m:val="¨"/>
                  </m:acc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</m:acc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∇</m:t>
                </m:r>
                <m:r>
                  <w:rPr>
                    <w:rFonts w:ascii="Cambria Math" w:hAnsi="Cambria Math"/>
                  </w:rPr>
                  <m:t xml:space="preserve">⋅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  <m:r>
                      <w:rPr>
                        <w:rFonts w:ascii="Cambria Math" w:hAnsi="Cambria Math"/>
                      </w:rPr>
                      <m:t xml:space="preserve">⋅</m:t>
                    </m:r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−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before="0" w:after="160"/>
        <w:ind w:left="0" w:right="0" w:firstLine="850"/>
        <w:jc w:val="both"/>
        <w:rPr>
          <w:color w:val="C9211E"/>
        </w:rPr>
      </w:pPr>
      <w:r>
        <w:rPr>
          <w:color w:val="000000"/>
        </w:rPr>
        <w:t>Вместе с законом Гука данное уравнение может быть решено методом конечных элементов.</w:t>
      </w:r>
    </w:p>
    <w:p>
      <w:pPr>
        <w:pStyle w:val="Normal"/>
        <w:spacing w:before="0" w:after="160"/>
        <w:ind w:left="0" w:right="0" w:hanging="0"/>
        <w:jc w:val="center"/>
        <w:rPr>
          <w:color w:val="C9211E"/>
        </w:rPr>
      </w:pPr>
      <w:r>
        <w:rPr>
          <w:color w:val="C9211E"/>
        </w:rPr>
      </w:r>
      <w:r>
        <w:br w:type="page"/>
      </w:r>
    </w:p>
    <w:p>
      <w:pPr>
        <w:pStyle w:val="Normal"/>
        <w:spacing w:before="0" w:after="160"/>
        <w:ind w:left="0" w:right="0" w:hanging="0"/>
        <w:jc w:val="center"/>
        <w:rPr>
          <w:color w:val="C9211E"/>
        </w:rPr>
      </w:pPr>
      <w:r>
        <w:rPr>
          <w:b/>
          <w:bCs/>
          <w:sz w:val="32"/>
          <w:szCs w:val="32"/>
        </w:rPr>
        <w:t>Метод конечных элементов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>Как было сказано выше, в данной работе задача численно решалась методом конечных элементов. Солвер был написан на языке Python с использованием библиотек numpy и scipy. Ниже приведены основные положения данного метода.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 xml:space="preserve">Метод конечных элементов — это мощный инструмент для решения дифференциальных и интегральных уравнений, является обобщением методов Ритца и Галеркина </w:t>
      </w:r>
      <w:r>
        <w:rPr>
          <w:rFonts w:eastAsia="" w:cs="Times New Roman" w:eastAsiaTheme="minorEastAsia"/>
          <w:bCs/>
          <w:iCs/>
          <w:color w:val="FF0000"/>
          <w:sz w:val="24"/>
          <w:szCs w:val="24"/>
        </w:rPr>
        <w:t>?</w:t>
      </w:r>
      <w:r>
        <w:rPr>
          <w:rFonts w:eastAsia="" w:cs="Times New Roman" w:eastAsiaTheme="minorEastAsia"/>
          <w:bCs/>
          <w:iCs/>
          <w:sz w:val="24"/>
          <w:szCs w:val="24"/>
        </w:rPr>
        <w:t>. Он  возник из необходимости решения задач строительной механики и теории упругости в 1930-х годах.</w:t>
      </w:r>
    </w:p>
    <w:p>
      <w:pPr>
        <w:pStyle w:val="Normal"/>
        <w:spacing w:lineRule="auto" w:line="360" w:before="0" w:after="120"/>
        <w:ind w:left="567" w:right="567" w:firstLine="709"/>
        <w:jc w:val="both"/>
        <w:rPr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 xml:space="preserve">Основной идеей данного метода является рассмотрение </w:t>
      </w:r>
      <w:r>
        <w:rPr>
          <w:rFonts w:eastAsia="" w:cs="Times New Roman" w:eastAsiaTheme="minorEastAsia"/>
          <w:bCs/>
          <w:iCs/>
          <w:color w:val="000000"/>
          <w:sz w:val="24"/>
          <w:szCs w:val="24"/>
        </w:rPr>
        <w:t>заданной области как композиции простых геометрических форм, которые называются конечными элементами. Для данных элементов решение аппроксимируется как линейная комбинация некоторых функций которые называются функциями формы.</w:t>
      </w:r>
    </w:p>
    <w:p>
      <w:pPr>
        <w:pStyle w:val="Normal"/>
        <w:spacing w:lineRule="auto" w:line="360" w:before="0" w:after="120"/>
        <w:ind w:left="567" w:right="567" w:firstLine="709"/>
        <w:jc w:val="both"/>
        <w:rPr/>
      </w:pPr>
      <w:r>
        <w:rPr>
          <w:rFonts w:eastAsia="" w:cs="Times New Roman" w:eastAsiaTheme="minorEastAsia"/>
          <w:bCs/>
          <w:iCs/>
          <w:sz w:val="24"/>
          <w:szCs w:val="24"/>
        </w:rPr>
        <w:t>Для начала рассмотрим уравнение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∇</m:t>
                </m:r>
                <m:r>
                  <w:rPr>
                    <w:rFonts w:ascii="Cambria Math" w:hAnsi="Cambria Math"/>
                  </w:rPr>
                  <m:t xml:space="preserve">⋅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∇</m:t>
                        </m:r>
                        <m:r>
                          <w:rPr>
                            <w:rFonts w:ascii="Cambria Math" w:hAnsi="Cambria Math"/>
                          </w:rPr>
                          <m:t xml:space="preserve">⊗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</m:acc>
                      </m:e>
                    </m:d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lineRule="auto" w:line="360" w:before="0" w:after="120"/>
        <w:ind w:left="0" w:right="567" w:firstLine="850"/>
        <w:jc w:val="both"/>
        <w:rPr/>
      </w:pPr>
      <w:r>
        <w:rPr>
          <w:rFonts w:eastAsia="" w:cs="Times New Roman" w:eastAsiaTheme="minorEastAsia"/>
          <w:bCs/>
          <w:iCs/>
          <w:sz w:val="24"/>
          <w:szCs w:val="24"/>
        </w:rPr>
        <w:t xml:space="preserve">Решение данного уравнения эквивалентно нахождению минимума функционала 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/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χ</m:t>
                </m:r>
                <m: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 xml:space="preserve">f</m:t>
                    </m:r>
                  </m:e>
                </m:nary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y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z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∇</m:t>
                    </m:r>
                    <m:r>
                      <w:rPr>
                        <w:rFonts w:ascii="Cambria Math" w:hAnsi="Cambria Math"/>
                      </w:rPr>
                      <m:t xml:space="preserve">⊗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d</m:t>
                </m:r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d</m:t>
                </m:r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d</m:t>
                </m:r>
                <m:r>
                  <w:rPr>
                    <w:rFonts w:ascii="Cambria Math" w:hAnsi="Cambria Math"/>
                  </w:rPr>
                  <m:t xml:space="preserve">z</m:t>
                </m:r>
                <m:r>
                  <w:rPr>
                    <w:rFonts w:ascii="Cambria Math" w:hAnsi="Cambria Math"/>
                  </w:rPr>
                  <m:t xml:space="preserve">→</m:t>
                </m:r>
                <m:r>
                  <w:rPr>
                    <w:rFonts w:ascii="Cambria Math" w:hAnsi="Cambria Math"/>
                  </w:rPr>
                  <m:t xml:space="preserve">min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lineRule="auto" w:line="360" w:before="0" w:after="120"/>
        <w:ind w:left="567" w:right="567" w:hanging="0"/>
        <w:jc w:val="both"/>
        <w:rPr/>
      </w:pPr>
      <w:r>
        <w:rPr>
          <w:rFonts w:eastAsia="" w:cs="Times New Roman" w:eastAsiaTheme="minorEastAsia"/>
          <w:bCs/>
          <w:iCs/>
          <w:sz w:val="24"/>
          <w:szCs w:val="24"/>
        </w:rPr>
        <w:t xml:space="preserve">Динамическое уравнение (ссылка), может быть сведено к уравнению (ссылка), откуда мы найдем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</m:oMath>
      <w:r>
        <w:rPr>
          <w:sz w:val="24"/>
          <w:szCs w:val="24"/>
        </w:rPr>
        <w:t>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914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∇</m:t>
                    </m:r>
                    <m:r>
                      <w:rPr>
                        <w:rFonts w:ascii="Cambria Math" w:hAnsi="Cambria Math"/>
                      </w:rPr>
                      <m:t xml:space="preserve">⊗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:</m:t>
                </m:r>
                <m:r>
                  <w:rPr>
                    <w:rFonts w:ascii="Cambria Math" w:hAnsi="Cambria Math"/>
                  </w:rPr>
                  <m:t xml:space="preserve">ε</m:t>
                </m:r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ρ</m:t>
                </m:r>
                <m:acc>
                  <m:accPr>
                    <m:chr m:val="¨"/>
                  </m:acc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</m:acc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lineRule="auto" w:line="360" w:before="0" w:after="120"/>
        <w:ind w:left="0" w:right="567" w:firstLine="850"/>
        <w:jc w:val="both"/>
        <w:rPr/>
      </w:pPr>
      <w:r>
        <w:rPr>
          <w:rFonts w:eastAsia="" w:cs="Times New Roman" w:eastAsiaTheme="minorEastAsia"/>
          <w:bCs/>
          <w:iCs/>
          <w:sz w:val="24"/>
          <w:szCs w:val="24"/>
        </w:rPr>
        <w:t xml:space="preserve">Здесь было учтено, что в данной работе воздействие внешних сил не рассматривается.  Учитывая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ε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ε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∇</m:t>
            </m:r>
            <m:r>
              <w:rPr>
                <w:rFonts w:ascii="Cambria Math" w:hAnsi="Cambria Math"/>
              </w:rPr>
              <m:t xml:space="preserve">⊗</m:t>
            </m:r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</m:acc>
          </m:e>
        </m:d>
      </m:oMath>
      <w:r>
        <w:rPr>
          <w:sz w:val="24"/>
          <w:szCs w:val="24"/>
        </w:rPr>
        <w:t xml:space="preserve">, можно записать 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=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: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:</m:t>
                </m:r>
                <m:r>
                  <w:rPr>
                    <w:rFonts w:ascii="Cambria Math" w:hAnsi="Cambria Math"/>
                  </w:rPr>
                  <m:t xml:space="preserve">ε</m:t>
                </m:r>
                <m:r>
                  <w:rPr>
                    <w:rFonts w:ascii="Cambria Math" w:hAnsi="Cambria Math"/>
                  </w:rPr>
                  <m:t xml:space="preserve">+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ρ</m:t>
                </m:r>
                <m:acc>
                  <m:accPr>
                    <m:chr m:val="¨"/>
                  </m:accPr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</m:acc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lineRule="auto" w:line="360" w:before="0" w:after="120"/>
        <w:ind w:left="0" w:right="567" w:firstLine="850"/>
        <w:jc w:val="both"/>
        <w:rPr>
          <w:sz w:val="24"/>
          <w:szCs w:val="24"/>
        </w:rPr>
      </w:pPr>
      <w:r>
        <w:rPr>
          <w:rFonts w:eastAsia="" w:cs="Times New Roman" w:eastAsiaTheme="minorEastAsia"/>
          <w:bCs/>
          <w:iCs/>
          <w:sz w:val="24"/>
          <w:szCs w:val="24"/>
        </w:rPr>
        <w:t>Далее необходимо ввести конечно-элементную аппроксимацию. Для  этого рассмотрим тетраэдральный элемент и представим вектор перемещения в следующем виде: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450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y</m:t>
                </m:r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y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rPr/>
      </w:pPr>
      <w:r>
        <w:rPr/>
        <w:t>Тогда для вектора перемещений в узле i: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450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3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</w:rPr>
                      <m:t xml:space="preserve"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4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</w:rPr>
                      <m:t xml:space="preserve"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76875" cy="378142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Отсюда можно записать</w:t>
      </w:r>
    </w:p>
    <w:tbl>
      <w:tblPr>
        <w:tblW w:w="11655" w:type="dxa"/>
        <w:jc w:val="left"/>
        <w:tblInd w:w="-10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1128"/>
        <w:gridCol w:w="526"/>
      </w:tblGrid>
      <w:tr>
        <w:trPr>
          <w:trHeight w:val="450" w:hRule="atLeast"/>
        </w:trPr>
        <w:tc>
          <w:tcPr>
            <w:tcW w:w="11128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6</m:t>
                    </m:r>
                    <m:r>
                      <w:rPr>
                        <w:rFonts w:ascii="Cambria Math" w:hAnsi="Cambria Math"/>
                      </w:rPr>
                      <m:t xml:space="preserve">V</m:t>
                    </m:r>
                  </m:den>
                </m:f>
                <m:d>
                  <m:dPr>
                    <m:begChr m:val="["/>
                    <m:endChr m:val="]"/>
                  </m:dPr>
                  <m:e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y</m:t>
                        </m:r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e>
                    </m:d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+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y</m:t>
                        </m:r>
                        <m:r>
                          <w:rPr>
                            <w:rFonts w:ascii="Cambria Math" w:hAnsi="Cambria Math"/>
                          </w:rPr>
                          <m:t xml:space="preserve">+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z</m:t>
                        </m:r>
                      </m:e>
                    </m:d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j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+</m:t>
                    </m:r>
                    <m:r>
                      <w:rPr>
                        <w:rFonts w:ascii="Cambria Math" w:hAnsi="Cambria Math"/>
                      </w:rPr>
                      <m:t xml:space="preserve">⋯</m:t>
                    </m:r>
                  </m:e>
                </m:d>
              </m:oMath>
            </m:oMathPara>
          </w:p>
        </w:tc>
        <w:tc>
          <w:tcPr>
            <w:tcW w:w="526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jc w:val="both"/>
        <w:rPr/>
      </w:pPr>
      <w:r>
        <w:rPr/>
        <w:t xml:space="preserve">Где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V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a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b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c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d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/>
        <w:t>определяются как</w:t>
      </w:r>
    </w:p>
    <w:tbl>
      <w:tblPr>
        <w:tblW w:w="11655" w:type="dxa"/>
        <w:jc w:val="left"/>
        <w:tblInd w:w="-10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541"/>
        <w:gridCol w:w="1113"/>
      </w:tblGrid>
      <w:tr>
        <w:trPr>
          <w:trHeight w:val="450" w:hRule="atLeast"/>
        </w:trPr>
        <w:tc>
          <w:tcPr>
            <w:tcW w:w="10541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V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det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det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det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det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det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j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m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113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hanging="0"/>
        <w:rPr/>
      </w:pPr>
      <w:r>
        <w:rPr/>
        <w:t>Остальные коэффициенты определяются по аналогичным формулам, только с циклической перестановкой индексов.</w:t>
      </w:r>
    </w:p>
    <w:p>
      <w:pPr>
        <w:pStyle w:val="Normal"/>
        <w:ind w:left="0" w:right="0" w:firstLine="850"/>
        <w:rPr/>
      </w:pPr>
      <w:r>
        <w:rPr/>
        <w:t>Перемещение произвольной точки можно записать в виде: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450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["/>
                    <m:endChr m:val="]"/>
                  </m:dPr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⃗"/>
                  </m:accPr>
                  <m:e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p>
                    </m:sSup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["/>
                    <m:endChr m:val="]"/>
                  </m:dPr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⃗"/>
                  </m:accPr>
                  <m:e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p>
                    </m:sSup>
                  </m:e>
                </m:acc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hanging="0"/>
        <w:jc w:val="both"/>
        <w:rPr/>
      </w:pPr>
      <w:r>
        <w:rPr/>
        <w:t xml:space="preserve">Где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a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b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c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  <m:r>
              <w:rPr>
                <w:rFonts w:ascii="Cambria Math" w:hAnsi="Cambria Math"/>
              </w:rPr>
              <m:t xml:space="preserve">y</m:t>
            </m:r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d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  <m:r>
              <w:rPr>
                <w:rFonts w:ascii="Cambria Math" w:hAnsi="Cambria Math"/>
              </w:rPr>
              <m:t xml:space="preserve">z</m:t>
            </m:r>
          </m:num>
          <m:den>
            <m:r>
              <w:rPr>
                <w:rFonts w:ascii="Cambria Math" w:hAnsi="Cambria Math"/>
              </w:rPr>
              <m:t xml:space="preserve">6</m:t>
            </m:r>
            <m:r>
              <w:rPr>
                <w:rFonts w:ascii="Cambria Math" w:hAnsi="Cambria Math"/>
              </w:rPr>
              <m:t xml:space="preserve">V</m:t>
            </m:r>
          </m:den>
        </m:f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I</m:t>
        </m:r>
      </m:oMath>
      <w:r>
        <w:rPr/>
        <w:t xml:space="preserve">- единичная матрица, </w:t>
      </w:r>
      <w:r>
        <w:rPr/>
      </w:r>
      <m:oMath xmlns:m="http://schemas.openxmlformats.org/officeDocument/2006/math">
        <m:sSup>
          <m:e>
            <m:acc>
              <m:accPr>
                <m:chr m:val="⃗"/>
              </m:accPr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</m:acc>
          </m:e>
          <m:sup>
            <m:r>
              <w:rPr>
                <w:rFonts w:ascii="Cambria Math" w:hAnsi="Cambria Math"/>
              </w:rPr>
              <m:t xml:space="preserve">e</m:t>
            </m:r>
          </m:sup>
        </m:sSup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ω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v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ω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⋯</m:t>
            </m:r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ω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</m:sSub>
          </m:e>
        </m:d>
      </m:oMath>
      <w:r>
        <w:rPr/>
        <w:t>- вектор размера (12,1) неизвестных перемещений для элемента.</w:t>
      </w:r>
    </w:p>
    <w:p>
      <w:pPr>
        <w:pStyle w:val="Normal"/>
        <w:spacing w:before="0" w:after="160"/>
        <w:ind w:left="0" w:right="0" w:firstLine="850"/>
        <w:jc w:val="both"/>
        <w:rPr/>
      </w:pPr>
      <w:r>
        <w:rPr/>
        <w:t xml:space="preserve">Рассмотрим первое слагаемое в (сслыка) и возьмем производную по </w:t>
      </w:r>
      <w:r>
        <w:rPr/>
      </w:r>
      <m:oMath xmlns:m="http://schemas.openxmlformats.org/officeDocument/2006/math"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acc>
      </m:oMath>
      <w:r>
        <w:rPr/>
        <w:t xml:space="preserve"> -перемещению в узле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i</m:t>
        </m:r>
      </m:oMath>
      <w:r>
        <w:rPr/>
        <w:t xml:space="preserve"> от п. В индексной записи это можно представить так: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791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den>
                    </m:f>
                    <m:sSubSup>
                      <m:e>
                        <m:r>
                          <w:rPr>
                            <w:rFonts w:ascii="Cambria Math" w:hAnsi="Cambria Math"/>
                          </w:rPr>
                          <m:t xml:space="preserve"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α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 xml:space="preserve">: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α</m:t>
                        </m:r>
                        <m:r>
                          <w:rPr>
                            <w:rFonts w:ascii="Cambria Math" w:hAnsi="Cambria Math"/>
                          </w:rPr>
                          <m:t xml:space="preserve">β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: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β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</m:den>
                </m:f>
                <m:sSubSup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  <m:r>
                      <w:rPr>
                        <w:rFonts w:ascii="Cambria Math" w:hAnsi="Cambria Math"/>
                      </w:rPr>
                      <m:t xml:space="preserve">β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β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</m:t>
                    </m:r>
                  </m:den>
                </m:f>
                <m:sSubSup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  <m:r>
                      <w:rPr>
                        <w:rFonts w:ascii="Cambria Math" w:hAnsi="Cambria Math"/>
                      </w:rPr>
                      <m:t xml:space="preserve">β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β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  <m:r>
                      <w:rPr>
                        <w:rFonts w:ascii="Cambria Math" w:hAnsi="Cambria Math"/>
                      </w:rPr>
                      <m:t xml:space="preserve">β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β</m:t>
                    </m:r>
                  </m:sub>
                </m:sSub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jc w:val="both"/>
        <w:rPr/>
      </w:pPr>
      <w:r>
        <w:rPr/>
        <w:t xml:space="preserve">Где используется правило суммирования Эйнштейна, а также введено обозначение 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791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α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jc w:val="both"/>
        <w:rPr/>
      </w:pPr>
      <w:r>
        <w:rPr/>
        <w:t xml:space="preserve">Производная от второго слагаемого в (ссылка) вычисляется тривиально 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791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</m:den>
                </m:f>
                <m:d>
                  <m:dPr>
                    <m:begChr m:val="("/>
                    <m:endChr m:val=")"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α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⋅</m:t>
                    </m:r>
                    <m:r>
                      <w:rPr>
                        <w:rFonts w:ascii="Cambria Math" w:hAnsi="Cambria Math"/>
                      </w:rPr>
                      <m:t xml:space="preserve">ρ</m:t>
                    </m:r>
                    <m:acc>
                      <m:accPr>
                        <m:chr m:val="¨"/>
                      </m:accPr>
                      <m:e>
                        <m:acc>
                          <m:accPr>
                            <m:chr m:val="⃗"/>
                          </m:acc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u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α</m:t>
                                </m:r>
                              </m:sub>
                            </m:sSub>
                          </m:e>
                        </m:acc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ρ</m:t>
                </m:r>
                <m:acc>
                  <m:accPr>
                    <m:chr m:val="¨"/>
                  </m:acc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α</m:t>
                            </m:r>
                          </m:sub>
                        </m:sSub>
                      </m:e>
                    </m:acc>
                  </m:e>
                </m:acc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tabs>
          <w:tab w:val="clear" w:pos="708"/>
          <w:tab w:val="left" w:pos="95" w:leader="none"/>
        </w:tabs>
        <w:ind w:left="0" w:right="0" w:firstLine="850"/>
        <w:jc w:val="both"/>
        <w:rPr/>
      </w:pPr>
      <w:r>
        <w:rPr/>
        <w:t xml:space="preserve">Введем также соотношение между вектором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ε</m:t>
        </m:r>
      </m:oMath>
      <w:r>
        <w:rPr/>
        <w:t>и вектором перемещения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u</m:t>
            </m:r>
          </m:e>
        </m:acc>
      </m:oMath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791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ε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hanging="0"/>
        <w:jc w:val="both"/>
        <w:rPr/>
      </w:pPr>
      <w:r>
        <w:rPr/>
        <w:t>Где S определяется как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791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den>
                          </m:f>
                        </m:e>
                      </m:mr>
                      <m:mr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den>
                          </m:f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den>
                          </m:f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den>
                          </m:f>
                        </m:e>
                      </m:mr>
                      <m:mr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den>
                          </m:f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f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 xml:space="preserve">∂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den>
                          </m:f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jc w:val="both"/>
        <w:rPr/>
      </w:pPr>
      <w:r>
        <w:rPr/>
        <w:t>Подставляя все полученные формулы в выражения для производной функционала получаем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r>
                      <w:rPr>
                        <w:rFonts w:ascii="Cambria Math" w:hAnsi="Cambria Math"/>
                      </w:rPr>
                      <m:t xml:space="preserve">χ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sSubSup>
                      <m:e>
                        <m:r>
                          <w:rPr>
                            <w:rFonts w:ascii="Cambria Math" w:hAnsi="Cambria Math"/>
                          </w:rPr>
                          <m:t xml:space="preserve"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α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p>
                    </m:sSubSup>
                  </m:e>
                </m:nary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  <m:r>
                      <w:rPr>
                        <w:rFonts w:ascii="Cambria Math" w:hAnsi="Cambria Math"/>
                      </w:rPr>
                      <m:t xml:space="preserve">β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: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β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ρ</m:t>
                </m:r>
                <m:sSub>
                  <m:e>
                    <m:acc>
                      <m:accPr>
                        <m:chr m:val="¨"/>
                      </m:acc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</m:acc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 xml:space="preserve">α</m:t>
                    </m:r>
                  </m:sub>
                </m:sSub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jc w:val="both"/>
        <w:rPr/>
      </w:pPr>
      <w:r>
        <w:rPr/>
        <w:t>Далее рассмотрим данное выражение в узле j и подставим конечно-элементную аппроксимацию. Учтем  также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ε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S</m:t>
                </m:r>
                <m:r>
                  <w:rPr>
                    <w:rFonts w:ascii="Cambria Math" w:hAnsi="Cambria Math"/>
                  </w:rPr>
                  <m:t xml:space="preserve">⋅</m:t>
                </m:r>
                <m:d>
                  <m:dPr>
                    <m:begChr m:val="["/>
                    <m:endChr m:val="]"/>
                  </m:dPr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sSup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 xml:space="preserve">e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B</m:t>
                </m:r>
                <m:r>
                  <w:rPr>
                    <w:rFonts w:ascii="Cambria Math" w:hAnsi="Cambria Math"/>
                  </w:rPr>
                  <m:t xml:space="preserve">⋅</m:t>
                </m:r>
                <m:sSup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 xml:space="preserve">e</m:t>
                    </m:r>
                  </m:sup>
                </m:sSup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hanging="0"/>
        <w:jc w:val="both"/>
        <w:rPr/>
      </w:pPr>
      <w:r>
        <w:rPr/>
        <w:t xml:space="preserve">Где матрица B имеет вид 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30"/>
      </w:tblGrid>
      <w:tr>
        <w:trPr>
          <w:trHeight w:val="791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B</m:t>
                </m:r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p>
                          </m:sSubSup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p>
                          </m:sSubSup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3</m:t>
                              </m:r>
                            </m:sup>
                          </m:sSubSup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4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p>
                          </m:sSubSup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p>
                          </m:sSubSup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3</m:t>
                              </m:r>
                            </m:sup>
                          </m:sSubSup>
                        </m:e>
                        <m:e>
                          <m:sSubSup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 xml:space="preserve">4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Sup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1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0</m:t>
                          </m:r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30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hanging="0"/>
        <w:jc w:val="both"/>
        <w:rPr/>
      </w:pPr>
      <w:r>
        <w:rPr/>
        <w:t xml:space="preserve">В итоге получается 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χ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sSub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 xml:space="preserve">⋅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C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⋅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B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⋅</m:t>
                            </m:r>
                            <m:sSup>
                              <m:e>
                                <m:acc>
                                  <m:accPr>
                                    <m:chr m:val="⃗"/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u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e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 xml:space="preserve">+</m:t>
                            </m:r>
                            <m:sSup>
                              <m:e>
                                <m:d>
                                  <m:dPr>
                                    <m:begChr m:val="["/>
                                    <m:endChr m:val="]"/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N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 xml:space="preserve">⋅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ρ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⋅</m:t>
                            </m:r>
                            <m:d>
                              <m:dPr>
                                <m:begChr m:val="["/>
                                <m:endChr m:val="]"/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N</m:t>
                                </m:r>
                              </m:e>
                            </m:d>
                            <m:r>
                              <w:rPr>
                                <w:rFonts w:ascii="Cambria Math" w:hAnsi="Cambria Math"/>
                              </w:rPr>
                              <m:t xml:space="preserve">⋅</m:t>
                            </m:r>
                            <m:sSup>
                              <m:e>
                                <m:acc>
                                  <m:accPr>
                                    <m:chr m:val="¨"/>
                                  </m:accPr>
                                  <m:e>
                                    <m:acc>
                                      <m:accPr>
                                        <m:chr m:val="⃗"/>
                                      </m:acc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u</m:t>
                                        </m:r>
                                      </m:e>
                                    </m:acc>
                                  </m:e>
                                </m:acc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e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ij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</w:rPr>
                  <m:t xml:space="preserve">dV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jc w:val="both"/>
        <w:rPr/>
      </w:pPr>
      <w:r>
        <w:rPr/>
        <w:t xml:space="preserve">Для минимизации функционала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χ</m:t>
        </m:r>
      </m:oMath>
      <w:r>
        <w:rPr/>
        <w:t xml:space="preserve">по всем параметрам </w:t>
      </w:r>
      <w:r>
        <w:rPr/>
      </w:r>
      <m:oMath xmlns:m="http://schemas.openxmlformats.org/officeDocument/2006/math">
        <m:acc>
          <m:accPr>
            <m:chr m:val="⃗"/>
          </m:accPr>
          <m:e>
            <m:sSub>
              <m:e>
                <m:r>
                  <w:rPr>
                    <w:rFonts w:ascii="Cambria Math" w:hAnsi="Cambria Math"/>
                  </w:rPr>
                  <m:t xml:space="preserve">u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acc>
      </m:oMath>
      <w:r>
        <w:rPr/>
        <w:t xml:space="preserve">необходимо записать систему 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∂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χ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 xml:space="preserve">∂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</m:den>
                </m:f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lineRule="auto" w:line="360"/>
        <w:ind w:left="0" w:right="0" w:firstLine="850"/>
        <w:jc w:val="both"/>
        <w:rPr/>
      </w:pPr>
      <w:r>
        <w:rPr/>
        <w:t xml:space="preserve">Чтобы получить итоговую систему линейный алгебраических уравнений перейдем к рассмотрению  задачи на нахождение собственных частот образца. Для этого все перемещения и нагрузки представляются в виде гармонических </w:t>
      </w:r>
      <w:r>
        <w:rPr>
          <w:color w:val="C9211E"/>
        </w:rPr>
        <w:t xml:space="preserve">? </w:t>
      </w:r>
      <w:r>
        <w:rPr>
          <w:color w:val="000000"/>
        </w:rPr>
        <w:t>функций: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⋅</m:t>
                </m:r>
                <m:sSup>
                  <m:e>
                    <m:r>
                      <w:rPr>
                        <w:rFonts w:ascii="Cambria Math" w:hAnsi="Cambria Math"/>
                      </w:rPr>
                      <m:t xml:space="preserve"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w:rPr>
                        <w:rFonts w:ascii="Cambria Math" w:hAnsi="Cambria Math"/>
                      </w:rPr>
                      <m:t xml:space="preserve">ω</m:t>
                    </m:r>
                    <m:r>
                      <w:rPr>
                        <w:rFonts w:ascii="Cambria Math" w:hAnsi="Cambria Math"/>
                      </w:rPr>
                      <m:t xml:space="preserve">t</m:t>
                    </m:r>
                  </m:sup>
                </m:sSup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rPr/>
      </w:pPr>
      <w:r>
        <w:rPr/>
        <w:t>Тогда СЛАУ для одного элемента может быть записана в следующей форме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ω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sSup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u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 xml:space="preserve">e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jc w:val="both"/>
        <w:rPr/>
      </w:pPr>
      <w:r>
        <w:rPr/>
        <w:t xml:space="preserve">Где введены обозначения для матрицы жесткости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K</m:t>
        </m:r>
      </m:oMath>
      <w:r>
        <w:rPr/>
        <w:t xml:space="preserve">и матрицы масс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M</m:t>
        </m:r>
      </m:oMath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29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B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C</m:t>
                </m:r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B</m:t>
                </m:r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dV</m:t>
                </m:r>
                <m:r>
                  <w:rPr>
                    <w:rFonts w:ascii="Cambria Math" w:hAnsi="Cambria Math"/>
                  </w:rPr>
                  <m:t xml:space="preserve">,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∫"/>
                    <m:subHide m:val="1"/>
                    <m:supHide m:val="1"/>
                  </m:naryPr>
                  <m:sub/>
                  <m:sup/>
                  <m:e>
                    <m:sSup>
                      <m:e>
                        <m:d>
                          <m:dPr>
                            <m:begChr m:val="["/>
                            <m:endChr m:val="]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ρ</m:t>
                </m:r>
                <m:r>
                  <w:rPr>
                    <w:rFonts w:ascii="Cambria Math" w:hAnsi="Cambria Math"/>
                  </w:rPr>
                  <m:t xml:space="preserve">⋅</m:t>
                </m:r>
                <m:d>
                  <m:dPr>
                    <m:begChr m:val="["/>
                    <m:endChr m:val="]"/>
                  </m:dPr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r>
                  <w:rPr>
                    <w:rFonts w:ascii="Cambria Math" w:hAnsi="Cambria Math"/>
                  </w:rPr>
                  <m:t xml:space="preserve">dV</m:t>
                </m:r>
              </m:oMath>
            </m:oMathPara>
          </w:p>
        </w:tc>
        <w:tc>
          <w:tcPr>
            <w:tcW w:w="529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lineRule="auto" w:line="360"/>
        <w:ind w:left="0" w:right="0" w:firstLine="850"/>
        <w:jc w:val="both"/>
        <w:rPr/>
      </w:pPr>
      <w:r>
        <w:rPr/>
        <w:t xml:space="preserve">Для всей области можно выписать СЛАУ аналогичным образом, </w:t>
      </w:r>
      <w:r>
        <w:rPr/>
        <w:t>путем суммирования по всем элементам.</w:t>
      </w:r>
    </w:p>
    <w:tbl>
      <w:tblPr>
        <w:tblW w:w="10486" w:type="dxa"/>
        <w:jc w:val="left"/>
        <w:tblInd w:w="8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56"/>
        <w:gridCol w:w="530"/>
      </w:tblGrid>
      <w:tr>
        <w:trPr>
          <w:trHeight w:val="395" w:hRule="atLeast"/>
        </w:trPr>
        <w:tc>
          <w:tcPr>
            <w:tcW w:w="9956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K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ω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M</m:t>
                    </m:r>
                  </m:e>
                </m:d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⃗"/>
                  </m:accPr>
                  <m:e>
                    <m:r>
                      <w:rPr>
                        <w:rFonts w:ascii="Cambria Math" w:hAnsi="Cambria Math"/>
                      </w:rPr>
                      <m:t xml:space="preserve">u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K</m:t>
                </m:r>
                <m: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∑"/>
                    <m:supHide m:val="1"/>
                  </m:naryPr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/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</w:rPr>
                  <m:t xml:space="preserve">,</m:t>
                </m:r>
                <m:r>
                  <m:t xml:space="preserve"> </m:t>
                </m:r>
                <m:r>
                  <w:rPr>
                    <w:rFonts w:ascii="Cambria Math" w:hAnsi="Cambria Math"/>
                  </w:rPr>
                  <m:t xml:space="preserve">M</m:t>
                </m:r>
                <m: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∑"/>
                    <m:supHide m:val="1"/>
                  </m:naryPr>
                  <m:sub>
                    <m:r>
                      <w:rPr>
                        <w:rFonts w:ascii="Cambria Math" w:hAnsi="Cambria Math"/>
                      </w:rPr>
                      <m:t xml:space="preserve">e</m:t>
                    </m:r>
                  </m:sub>
                  <m:sup/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30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hanging="0"/>
        <w:jc w:val="both"/>
        <w:rPr/>
      </w:pPr>
      <w:r>
        <w:rPr/>
        <w:t xml:space="preserve">Здесь </w:t>
      </w:r>
      <w:r>
        <w:rPr/>
      </w:r>
      <m:oMath xmlns:m="http://schemas.openxmlformats.org/officeDocument/2006/math">
        <m:acc>
          <m:accPr>
            <m:chr m:val="⃗"/>
          </m:accPr>
          <m:e>
            <m:r>
              <w:rPr>
                <w:rFonts w:ascii="Cambria Math" w:hAnsi="Cambria Math"/>
              </w:rPr>
              <m:t xml:space="preserve">u</m:t>
            </m:r>
          </m:e>
        </m:acc>
      </m:oMath>
      <w:r>
        <w:rPr/>
        <w:t>- вектор неизвестных перемещений в узлах сетки.</w:t>
      </w:r>
    </w:p>
    <w:p>
      <w:pPr>
        <w:pStyle w:val="Normal"/>
        <w:ind w:left="0" w:right="0" w:firstLine="850"/>
        <w:jc w:val="both"/>
        <w:rPr/>
      </w:pPr>
      <w:r>
        <w:rPr/>
        <w:t>Собственные частоты получаются из решения уравнения</w:t>
      </w:r>
    </w:p>
    <w:tbl>
      <w:tblPr>
        <w:tblW w:w="10455" w:type="dxa"/>
        <w:jc w:val="left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7"/>
        <w:gridCol w:w="528"/>
      </w:tblGrid>
      <w:tr>
        <w:trPr>
          <w:trHeight w:val="395" w:hRule="atLeast"/>
        </w:trPr>
        <w:tc>
          <w:tcPr>
            <w:tcW w:w="9927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det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K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ω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M</m:t>
                    </m:r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0</m:t>
                </m:r>
              </m:oMath>
            </m:oMathPara>
          </w:p>
        </w:tc>
        <w:tc>
          <w:tcPr>
            <w:tcW w:w="528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lineRule="auto" w:line="360" w:before="0" w:after="160"/>
        <w:ind w:left="0" w:right="0" w:firstLine="850"/>
        <w:jc w:val="both"/>
        <w:rPr/>
      </w:pPr>
      <w:r>
        <w:rPr/>
        <w:t xml:space="preserve">Приведу формулы для вычисления </w:t>
      </w:r>
      <w:r>
        <w:rPr/>
        <w:t>матрицы жесткости и матрицы масс для элементов</w:t>
      </w:r>
    </w:p>
    <w:p>
      <w:pPr>
        <w:pStyle w:val="Normal"/>
        <w:spacing w:lineRule="auto" w:line="360" w:before="0" w:after="160"/>
        <w:ind w:left="0" w:right="0" w:firstLine="850"/>
        <w:jc w:val="both"/>
        <w:rPr/>
      </w:pPr>
      <w:r>
        <w:rPr/>
        <w:t>Элементами матрицы масс являются интегралы вида</w:t>
      </w:r>
      <w:r>
        <w:rPr/>
      </w:r>
      <m:oMath xmlns:m="http://schemas.openxmlformats.org/officeDocument/2006/math">
        <m:nary>
          <m:naryPr>
            <m:chr m:val="∫"/>
            <m:subHide m:val="1"/>
            <m:supHide m:val="1"/>
          </m:naryPr>
          <m:sub/>
          <m:sup/>
          <m:e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nary>
        <m:r>
          <w:rPr>
            <w:rFonts w:ascii="Cambria Math" w:hAnsi="Cambria Math"/>
          </w:rPr>
          <m:t xml:space="preserve">⋅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dV</m:t>
        </m:r>
      </m:oMath>
      <w:r>
        <w:rPr/>
        <w:t>.Для функций формы введенных выше данные интегралы можно посчитать аналитически для произвольного элемента, если преобразовать его к референсному тетраэдру с координатами (1,0,0),  (0,0,1), (0,1,0), (0,0,0).</w:t>
      </w:r>
    </w:p>
    <w:p>
      <w:pPr>
        <w:pStyle w:val="Normal"/>
        <w:spacing w:lineRule="auto" w:line="360" w:before="0" w:after="160"/>
        <w:ind w:left="0" w:right="0" w:firstLine="850"/>
        <w:jc w:val="both"/>
        <w:rPr/>
      </w:pPr>
      <w:r>
        <w:rPr/>
        <w:drawing>
          <wp:anchor behindDoc="0" distT="0" distB="0" distL="0" distR="0" simplePos="0" locked="0" layoutInCell="0" allowOverlap="1" relativeHeight="8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05225" cy="3067050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ind w:left="0" w:right="0" w:firstLine="850"/>
        <w:jc w:val="both"/>
        <w:rPr/>
      </w:pPr>
      <w:r>
        <w:rPr/>
        <w:t xml:space="preserve">Если координаты элемента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  <m:r>
          <w:rPr>
            <w:rFonts w:ascii="Cambria Math" w:hAnsi="Cambria Math"/>
          </w:rPr>
          <m:t xml:space="preserve">,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hAnsi="Cambria Math"/>
          </w:rPr>
          <m:t xml:space="preserve">,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3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  <m:sub>
                <m:r>
                  <w:rPr>
                    <w:rFonts w:ascii="Cambria Math" w:hAnsi="Cambria Math"/>
                  </w:rPr>
                  <m:t xml:space="preserve">3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3</m:t>
                </m:r>
              </m:sub>
            </m:sSub>
          </m:e>
        </m:d>
        <m:r>
          <w:rPr>
            <w:rFonts w:ascii="Cambria Math" w:hAnsi="Cambria Math"/>
          </w:rPr>
          <m:t xml:space="preserve">,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</m:sSub>
            <m:r>
              <w:rPr>
                <w:rFonts w:ascii="Cambria Math" w:hAnsi="Cambria Math"/>
              </w:rPr>
              <m:t xml:space="preserve">,</m:t>
            </m:r>
            <m:sSub>
              <m:e>
                <m:r>
                  <w:rPr>
                    <w:rFonts w:ascii="Cambria Math" w:hAnsi="Cambria Math"/>
                  </w:rPr>
                  <m:t xml:space="preserve">z</m:t>
                </m:r>
              </m:e>
              <m:sub>
                <m:r>
                  <w:rPr>
                    <w:rFonts w:ascii="Cambria Math" w:hAnsi="Cambria Math"/>
                  </w:rPr>
                  <m:t xml:space="preserve">4</m:t>
                </m:r>
              </m:sub>
            </m:sSub>
          </m:e>
        </m:d>
      </m:oMath>
      <w:r>
        <w:rPr/>
        <w:t>, то данное преобразование можно записать как</w:t>
      </w:r>
    </w:p>
    <w:tbl>
      <w:tblPr>
        <w:tblW w:w="10455" w:type="dxa"/>
        <w:jc w:val="left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7"/>
        <w:gridCol w:w="528"/>
      </w:tblGrid>
      <w:tr>
        <w:trPr>
          <w:trHeight w:val="395" w:hRule="atLeast"/>
        </w:trPr>
        <w:tc>
          <w:tcPr>
            <w:tcW w:w="9927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=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3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4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−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y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z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F</m:t>
                </m:r>
                <m:r>
                  <w:rPr>
                    <w:rFonts w:ascii="Cambria Math" w:hAnsi="Cambria Math"/>
                  </w:rPr>
                  <m:t xml:space="preserve">⋅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ξ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η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ζ</m:t>
                          </m:r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</w:rPr>
                  <m:t xml:space="preserve">+</m:t>
                </m:r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1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28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jc w:val="both"/>
        <w:rPr/>
      </w:pPr>
      <w:r>
        <w:rPr/>
        <w:t xml:space="preserve">В новой системе отсчета с координатам </w:t>
      </w:r>
      <w:r>
        <w:rPr/>
      </w:r>
      <m:oMath xmlns:m="http://schemas.openxmlformats.org/officeDocument/2006/math"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ξ</m:t>
            </m:r>
            <m:r>
              <w:rPr>
                <w:rFonts w:ascii="Cambria Math" w:hAnsi="Cambria Math"/>
              </w:rPr>
              <m:t xml:space="preserve">,</m:t>
            </m:r>
            <m:r>
              <m:t xml:space="preserve"> </m:t>
            </m:r>
            <m:r>
              <w:rPr>
                <w:rFonts w:ascii="Cambria Math" w:hAnsi="Cambria Math"/>
              </w:rPr>
              <m:t xml:space="preserve">η</m:t>
            </m:r>
            <m:r>
              <w:rPr>
                <w:rFonts w:ascii="Cambria Math" w:hAnsi="Cambria Math"/>
              </w:rPr>
              <m:t xml:space="preserve">,</m:t>
            </m:r>
            <m:r>
              <m:t xml:space="preserve"> </m:t>
            </m:r>
            <m:r>
              <w:rPr>
                <w:rFonts w:ascii="Cambria Math" w:hAnsi="Cambria Math"/>
              </w:rPr>
              <m:t xml:space="preserve">ζ</m:t>
            </m:r>
          </m:e>
        </m:d>
      </m:oMath>
      <w:r>
        <w:rPr/>
        <w:t xml:space="preserve"> функции формы примут следующий вид </w:t>
      </w:r>
    </w:p>
    <w:tbl>
      <w:tblPr>
        <w:tblW w:w="10455" w:type="dxa"/>
        <w:jc w:val="left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7"/>
        <w:gridCol w:w="528"/>
      </w:tblGrid>
      <w:tr>
        <w:trPr>
          <w:trHeight w:val="395" w:hRule="atLeast"/>
        </w:trPr>
        <w:tc>
          <w:tcPr>
            <w:tcW w:w="9927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eqArr>
                  <m:e>
                    <m:acc>
                      <m:accPr>
                        <m:chr m:val="^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ξ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−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acc>
                      <m:accPr>
                        <m:chr m:val="^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ξ</m:t>
                    </m:r>
                  </m:e>
                  <m:e>
                    <m:acc>
                      <m:accPr>
                        <m:chr m:val="^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3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</m:e>
                  <m:e>
                    <m:acc>
                      <m:accPr>
                        <m:chr m:val="^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4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</m:eqArr>
              </m:oMath>
            </m:oMathPara>
          </w:p>
        </w:tc>
        <w:tc>
          <w:tcPr>
            <w:tcW w:w="528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rPr/>
      </w:pPr>
      <w:r>
        <w:rPr/>
        <w:t xml:space="preserve">Интегралы вида </w:t>
      </w:r>
      <w:r>
        <w:rPr/>
      </w:r>
      <m:oMath xmlns:m="http://schemas.openxmlformats.org/officeDocument/2006/math">
        <m:nary>
          <m:naryPr>
            <m:chr m:val="∫"/>
            <m:subHide m:val="1"/>
            <m:supHide m:val="1"/>
          </m:naryPr>
          <m:sub/>
          <m:sup/>
          <m:e>
            <m:r>
              <w:rPr>
                <w:rFonts w:ascii="Cambria Math" w:hAnsi="Cambria Math"/>
              </w:rPr>
              <m:t xml:space="preserve">ξ</m:t>
            </m:r>
          </m:e>
        </m:nary>
        <m:r>
          <w:rPr>
            <w:rFonts w:ascii="Cambria Math" w:hAnsi="Cambria Math"/>
          </w:rPr>
          <m:t xml:space="preserve">η</m:t>
        </m:r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ξ</m:t>
        </m:r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η</m:t>
        </m:r>
        <m:r>
          <w:rPr>
            <w:rFonts w:ascii="Cambria Math" w:hAnsi="Cambria Math"/>
          </w:rPr>
          <m:t xml:space="preserve">d</m:t>
        </m:r>
        <m:r>
          <w:rPr>
            <w:rFonts w:ascii="Cambria Math" w:hAnsi="Cambria Math"/>
          </w:rPr>
          <m:t xml:space="preserve">ζ</m:t>
        </m:r>
      </m:oMath>
      <w:r>
        <w:rPr/>
        <w:t>считаются достаточно просто</w:t>
      </w:r>
    </w:p>
    <w:tbl>
      <w:tblPr>
        <w:tblW w:w="10455" w:type="dxa"/>
        <w:jc w:val="left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7"/>
        <w:gridCol w:w="528"/>
      </w:tblGrid>
      <w:tr>
        <w:trPr>
          <w:trHeight w:val="395" w:hRule="atLeast"/>
        </w:trPr>
        <w:tc>
          <w:tcPr>
            <w:tcW w:w="9927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supHide m:val="1"/>
                      </m:naryPr>
                      <m:sub>
                        <m:acc>
                          <m:accPr>
                            <m:chr m:val="^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V</m:t>
                            </m:r>
                          </m:e>
                        </m:acc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 xml:space="preserve">ξ</m:t>
                        </m:r>
                      </m:e>
                    </m:nary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ξ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  <m:r>
                      <w:rPr>
                        <w:rFonts w:ascii="Cambria Math" w:hAnsi="Cambria Math"/>
                      </w:rPr>
                      <m:t xml:space="preserve">=</m:t>
                    </m:r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nary>
                          <m:naryPr>
                            <m:chr m:val="∫"/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ζ</m:t>
                            </m:r>
                          </m:sup>
                          <m:e>
                            <m:nary>
                              <m:naryPr>
                                <m:chr m:val="∫"/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η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ζ</m:t>
                                </m:r>
                              </m:sup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ξ</m:t>
                                </m:r>
                              </m:e>
                            </m:nary>
                          </m:e>
                        </m:nary>
                      </m:e>
                    </m:nary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ξ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f>
                      <m:num>
                        <m:nary>
                          <m:naryPr>
                            <m:chr m:val="∫"/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p>
                          <m:e>
                            <m:nary>
                              <m:naryPr>
                                <m:chr m:val="∫"/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ζ</m:t>
                                </m:r>
                              </m:sup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η</m:t>
                                </m:r>
                              </m:e>
                            </m:nary>
                          </m:e>
                        </m:nary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η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ζ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ζ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η</m:t>
                        </m:r>
                      </m:e>
                    </m:nary>
                    <m:sSup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η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ζ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ζ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 xml:space="preserve">η</m:t>
                        </m:r>
                      </m:e>
                    </m:nary>
                    <m:sSup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η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ζ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24</m:t>
                            </m:r>
                          </m:den>
                        </m:f>
                      </m:e>
                    </m:nary>
                    <m:sSup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ζ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4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24</m:t>
                        </m:r>
                      </m:den>
                    </m:f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ζ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4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24</m:t>
                        </m:r>
                      </m:den>
                    </m:f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5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=</m:t>
                    </m:r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120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supHide m:val="1"/>
                      </m:naryPr>
                      <m:sub>
                        <m:acc>
                          <m:accPr>
                            <m:chr m:val="^"/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V</m:t>
                            </m:r>
                          </m:e>
                        </m:acc>
                      </m:sub>
                      <m:sup/>
                      <m:e>
                        <m:sSup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ξ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ξ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nary>
                          <m:naryPr>
                            <m:chr m:val="∫"/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ζ</m:t>
                            </m:r>
                          </m:sup>
                          <m:e>
                            <m:nary>
                              <m:naryPr>
                                <m:chr m:val="∫"/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η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ζ</m:t>
                                </m:r>
                              </m:sup>
                              <m:e>
                                <m:sSup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ξ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2</m:t>
                                    </m:r>
                                  </m:sup>
                                </m:sSup>
                              </m:e>
                            </m:nary>
                          </m:e>
                        </m:nary>
                      </m:e>
                    </m:nary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ξ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f>
                      <m:num>
                        <m:nary>
                          <m:naryPr>
                            <m:chr m:val="∫"/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sup>
                          <m:e>
                            <m:nary>
                              <m:naryPr>
                                <m:chr m:val="∫"/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0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ζ</m:t>
                                </m:r>
                              </m:sup>
                              <m:e>
                                <m:sSup>
                                  <m:e>
                                    <m:d>
                                      <m:dPr>
                                        <m:begChr m:val="("/>
                                        <m:endChr m:val=")"/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1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−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η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−</m:t>
                                        </m:r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 xml:space="preserve">ζ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3</m:t>
                                    </m:r>
                                  </m:sup>
                                </m:sSup>
                              </m:e>
                            </m:nary>
                          </m:e>
                        </m:nary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3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r>
                          <w:rPr>
                            <w:rFonts w:ascii="Cambria Math" w:hAnsi="Cambria Math"/>
                          </w:rPr>
                          <m:t xml:space="preserve">ζ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η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ζ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3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η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12</m:t>
                            </m:r>
                          </m:den>
                        </m:f>
                      </m:e>
                    </m:nary>
                    <m:sSup>
                      <m:e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ζ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4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12</m:t>
                        </m:r>
                      </m:den>
                    </m:f>
                    <m:nary>
                      <m:naryPr>
                        <m:chr m:val="∫"/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p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−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 xml:space="preserve">ζ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4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w:rPr>
                        <w:rFonts w:ascii="Cambria Math" w:hAnsi="Cambria Math"/>
                      </w:rPr>
                      <m:t xml:space="preserve">ζ</m:t>
                    </m:r>
                  </m:e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12</m:t>
                        </m:r>
                      </m:den>
                    </m:f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5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=</m:t>
                    </m:r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60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528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ind w:left="0" w:right="0" w:firstLine="850"/>
        <w:rPr/>
      </w:pPr>
      <w:r>
        <w:rPr>
          <w:color w:val="C9211E"/>
        </w:rPr>
        <w:t>Я обнаглел</w:t>
      </w:r>
      <w:r>
        <w:rPr>
          <w:color w:val="C9211E"/>
        </w:rPr>
        <w:t xml:space="preserve"> </w:t>
      </w:r>
      <w:r>
        <w:rPr/>
        <w:t>Тогда для интегралов можно записать</w:t>
      </w:r>
    </w:p>
    <w:tbl>
      <w:tblPr>
        <w:tblW w:w="10455" w:type="dxa"/>
        <w:jc w:val="left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7"/>
        <w:gridCol w:w="528"/>
      </w:tblGrid>
      <w:tr>
        <w:trPr>
          <w:trHeight w:val="395" w:hRule="atLeast"/>
        </w:trPr>
        <w:tc>
          <w:tcPr>
            <w:tcW w:w="9927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nary>
                  <m:naryPr>
                    <m:chr m:val="∫"/>
                    <m:supHide m:val="1"/>
                  </m:naryPr>
                  <m:sub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p>
                    </m:sSup>
                  </m:sub>
                  <m:sup/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e>
                </m:nary>
                <m:sSub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dV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det</m:t>
                </m:r>
                <m:r>
                  <w:rPr>
                    <w:rFonts w:ascii="Cambria Math" w:hAnsi="Cambria Math"/>
                  </w:rPr>
                  <m:t xml:space="preserve">F</m:t>
                </m:r>
                <m:nary>
                  <m:naryPr>
                    <m:chr m:val="∫"/>
                    <m:supHide m:val="1"/>
                  </m:naryPr>
                  <m:sub>
                    <m:acc>
                      <m:accPr>
                        <m:chr m:val="^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</m:acc>
                  </m:sub>
                  <m:sup/>
                  <m:e>
                    <m:acc>
                      <m:accPr>
                        <m:chr m:val="^"/>
                      </m:acc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acc>
                  </m:e>
                </m:nary>
                <m:acc>
                  <m:accPr>
                    <m:chr m:val="^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d</m:t>
                </m:r>
                <m:acc>
                  <m:accPr>
                    <m:chr m:val="^"/>
                  </m:accPr>
                  <m:e>
                    <m:r>
                      <w:rPr>
                        <w:rFonts w:ascii="Cambria Math" w:hAnsi="Cambria Math"/>
                      </w:rPr>
                      <m:t xml:space="preserve">V</m:t>
                    </m:r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V</m:t>
                </m:r>
                <m:r>
                  <w:rPr>
                    <w:rFonts w:ascii="Cambria Math" w:hAnsi="Cambria Math"/>
                  </w:rPr>
                  <m:t xml:space="preserve">⋅</m:t>
                </m:r>
                <m:acc>
                  <m:accPr>
                    <m:chr m:val="^"/>
                  </m:acc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0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V</m:t>
                </m:r>
                <m:r>
                  <w:rPr>
                    <w:rFonts w:ascii="Cambria Math" w:hAnsi="Cambria Math"/>
                  </w:rPr>
                  <m:t xml:space="preserve">⋅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120</m:t>
                    </m:r>
                  </m:den>
                </m:f>
                <m:d>
                  <m:dPr>
                    <m:begChr m:val="("/>
                    <m:endChr m:val=")"/>
                  </m:dPr>
                  <m:e>
                    <m:m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 xml:space="preserve">2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28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tabs>
          <w:tab w:val="clear" w:pos="708"/>
          <w:tab w:val="left" w:pos="82" w:leader="none"/>
        </w:tabs>
        <w:ind w:left="0" w:right="0" w:firstLine="850"/>
        <w:jc w:val="both"/>
        <w:rPr/>
      </w:pPr>
      <w:r>
        <w:rPr/>
        <w:t xml:space="preserve">В матрице жесткости возникают интегралы вида </w:t>
      </w:r>
      <w:r>
        <w:rPr/>
      </w:r>
      <m:oMath xmlns:m="http://schemas.openxmlformats.org/officeDocument/2006/math">
        <m:nary>
          <m:naryPr>
            <m:chr m:val="∫"/>
            <m:subHide m:val="1"/>
            <m:supHide m:val="1"/>
          </m:naryPr>
          <m:sub/>
          <m:sup/>
          <m:e>
            <m:r>
              <w:rPr>
                <w:rFonts w:ascii="Cambria Math" w:hAnsi="Cambria Math"/>
              </w:rPr>
              <m:t xml:space="preserve">∇</m:t>
            </m:r>
          </m:e>
        </m:nary>
        <m:r>
          <w:rPr>
            <w:rFonts w:ascii="Cambria Math" w:hAnsi="Cambria Math"/>
          </w:rPr>
          <m:t xml:space="preserve">⊗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∇</m:t>
        </m:r>
        <m:r>
          <w:rPr>
            <w:rFonts w:ascii="Cambria Math" w:hAnsi="Cambria Math"/>
          </w:rPr>
          <m:t xml:space="preserve">⊗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</m:sSub>
        <m:r>
          <w:rPr>
            <w:rFonts w:ascii="Cambria Math" w:hAnsi="Cambria Math"/>
          </w:rPr>
          <m:t xml:space="preserve">dV</m:t>
        </m:r>
      </m:oMath>
      <w:r>
        <w:rPr/>
        <w:t>. Тогда аналогично матрице масс данные интегралы можно считать в референсном элементе</w:t>
      </w:r>
    </w:p>
    <w:tbl>
      <w:tblPr>
        <w:tblW w:w="10455" w:type="dxa"/>
        <w:jc w:val="left"/>
        <w:tblInd w:w="11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7"/>
        <w:gridCol w:w="528"/>
      </w:tblGrid>
      <w:tr>
        <w:trPr>
          <w:trHeight w:val="1023" w:hRule="atLeast"/>
        </w:trPr>
        <w:tc>
          <w:tcPr>
            <w:tcW w:w="9927" w:type="dxa"/>
            <w:tcBorders/>
          </w:tcPr>
          <w:p>
            <w:pPr>
              <w:pStyle w:val="Style28"/>
              <w:widowControl w:val="false"/>
              <w:spacing w:before="0" w:after="16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nary>
                  <m:naryPr>
                    <m:chr m:val="∫"/>
                    <m:supHide m:val="1"/>
                  </m:naryPr>
                  <m:sub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e</m:t>
                        </m:r>
                      </m:sup>
                    </m:sSup>
                  </m:sub>
                  <m:sup/>
                  <m:e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∇</m:t>
                        </m:r>
                        <m:r>
                          <w:rPr>
                            <w:rFonts w:ascii="Cambria Math" w:hAnsi="Cambria Math"/>
                          </w:rPr>
                          <m:t xml:space="preserve">⊗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 xml:space="preserve">⋅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∇</m:t>
                    </m:r>
                    <m:r>
                      <w:rPr>
                        <w:rFonts w:ascii="Cambria Math" w:hAnsi="Cambria Math"/>
                      </w:rPr>
                      <m:t xml:space="preserve">⊗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dV</m:t>
                </m:r>
                <m: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det</m:t>
                </m:r>
                <m:r>
                  <w:rPr>
                    <w:rFonts w:ascii="Cambria Math" w:hAnsi="Cambria Math"/>
                  </w:rPr>
                  <m:t xml:space="preserve">F</m:t>
                </m:r>
                <m:nary>
                  <m:naryPr>
                    <m:chr m:val="∫"/>
                    <m:supHide m:val="1"/>
                  </m:naryPr>
                  <m:sub>
                    <m:acc>
                      <m:accPr>
                        <m:chr m:val="^"/>
                      </m:accPr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</m:acc>
                  </m:sub>
                  <m:sup/>
                  <m:e>
                    <m:d>
                      <m:dPr>
                        <m:begChr m:val="("/>
                        <m:endChr m:val=")"/>
                      </m:dPr>
                      <m:e>
                        <m:sSup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−</m:t>
                            </m:r>
                            <m:sSup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1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sup>
                            </m:sSup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 xml:space="preserve">⋅</m:t>
                        </m:r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∇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⊗</m:t>
                            </m:r>
                            <m:acc>
                              <m:accPr>
                                <m:chr m:val="^"/>
                              </m:acc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N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 xml:space="preserve">⋅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−</m:t>
                        </m:r>
                        <m:sSup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sup>
                        </m:sSup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⋅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∇</m:t>
                        </m:r>
                        <m:r>
                          <w:rPr>
                            <w:rFonts w:ascii="Cambria Math" w:hAnsi="Cambria Math"/>
                          </w:rPr>
                          <m:t xml:space="preserve">⊗</m:t>
                        </m:r>
                        <m:acc>
                          <m:accPr>
                            <m:chr m:val="^"/>
                          </m:acc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j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d</m:t>
                </m:r>
                <m:acc>
                  <m:accPr>
                    <m:chr m:val="^"/>
                  </m:accPr>
                  <m:e>
                    <m:r>
                      <w:rPr>
                        <w:rFonts w:ascii="Cambria Math" w:hAnsi="Cambria Math"/>
                      </w:rPr>
                      <m:t xml:space="preserve">V</m:t>
                    </m:r>
                  </m:e>
                </m:acc>
              </m:oMath>
            </m:oMathPara>
          </w:p>
        </w:tc>
        <w:tc>
          <w:tcPr>
            <w:tcW w:w="528" w:type="dxa"/>
            <w:tcBorders/>
          </w:tcPr>
          <w:p>
            <w:pPr>
              <w:pStyle w:val="Style28"/>
              <w:widowControl w:val="false"/>
              <w:spacing w:before="0" w:after="160"/>
              <w:jc w:val="right"/>
              <w:rPr/>
            </w:pPr>
            <w:r>
              <w:rPr/>
              <w:t>(13)</w:t>
            </w:r>
          </w:p>
        </w:tc>
      </w:tr>
    </w:tbl>
    <w:p>
      <w:pPr>
        <w:pStyle w:val="Normal"/>
        <w:spacing w:before="0" w:after="160"/>
        <w:jc w:val="both"/>
        <w:rPr/>
      </w:pPr>
      <w:r>
        <w:rPr/>
        <w:t>Поскольку в данной работе функции формы являются полиномами первой степени, то матрицу жесткости можно аналитически посчитать и в исходной системе координат.</w:t>
      </w:r>
    </w:p>
    <w:sectPr>
      <w:footerReference w:type="default" r:id="rId5"/>
      <w:type w:val="nextPage"/>
      <w:pgSz w:w="11906" w:h="16838"/>
      <w:pgMar w:left="1417" w:right="850" w:gutter="0" w:header="0" w:top="1701" w:footer="850" w:bottom="158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79320537"/>
    </w:sdtPr>
    <w:sdtContent>
      <w:p>
        <w:pPr>
          <w:pStyle w:val="Style24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Style24"/>
      <w:rPr/>
    </w:pPr>
    <w:r>
      <w:rPr/>
    </w:r>
  </w:p>
</w:ftr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1">
    <w:name w:val="Heading 1"/>
    <w:basedOn w:val="Normal"/>
    <w:next w:val="Normal"/>
    <w:link w:val="11"/>
    <w:uiPriority w:val="9"/>
    <w:qFormat/>
    <w:rsid w:val="003e2ebf"/>
    <w:pPr>
      <w:keepNext w:val="true"/>
      <w:keepLines/>
      <w:spacing w:before="240" w:after="120"/>
      <w:jc w:val="center"/>
      <w:outlineLvl w:val="0"/>
    </w:pPr>
    <w:rPr>
      <w:rFonts w:ascii="Times New Roman" w:hAnsi="Times New Roman" w:eastAsia="" w:cs="" w:cstheme="majorBidi" w:eastAsiaTheme="majorEastAsia"/>
      <w:b/>
      <w:sz w:val="28"/>
      <w:szCs w:val="32"/>
    </w:rPr>
  </w:style>
  <w:style w:type="paragraph" w:styleId="2">
    <w:name w:val="Heading 2"/>
    <w:basedOn w:val="Normal"/>
    <w:next w:val="Normal"/>
    <w:link w:val="21"/>
    <w:uiPriority w:val="9"/>
    <w:unhideWhenUsed/>
    <w:qFormat/>
    <w:rsid w:val="003e2ebf"/>
    <w:pPr>
      <w:keepNext w:val="true"/>
      <w:keepLines/>
      <w:spacing w:before="120" w:after="120"/>
      <w:jc w:val="center"/>
      <w:outlineLvl w:val="1"/>
    </w:pPr>
    <w:rPr>
      <w:rFonts w:ascii="Times New Roman" w:hAnsi="Times New Roman" w:eastAsia="" w:cs="" w:cstheme="majorBidi" w:eastAsiaTheme="majorEastAsia"/>
      <w:b/>
      <w:sz w:val="28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Верхний колонтитул Знак"/>
    <w:basedOn w:val="DefaultParagraphFont"/>
    <w:uiPriority w:val="99"/>
    <w:qFormat/>
    <w:rsid w:val="00505077"/>
    <w:rPr/>
  </w:style>
  <w:style w:type="character" w:styleId="Style13" w:customStyle="1">
    <w:name w:val="Нижний колонтитул Знак"/>
    <w:basedOn w:val="DefaultParagraphFont"/>
    <w:uiPriority w:val="99"/>
    <w:qFormat/>
    <w:rsid w:val="00505077"/>
    <w:rPr/>
  </w:style>
  <w:style w:type="character" w:styleId="PlaceholderText">
    <w:name w:val="Placeholder Text"/>
    <w:basedOn w:val="DefaultParagraphFont"/>
    <w:uiPriority w:val="99"/>
    <w:semiHidden/>
    <w:qFormat/>
    <w:rsid w:val="00765309"/>
    <w:rPr>
      <w:color w:val="808080"/>
    </w:rPr>
  </w:style>
  <w:style w:type="character" w:styleId="Style14">
    <w:name w:val="Интернет-ссылка"/>
    <w:basedOn w:val="DefaultParagraphFont"/>
    <w:uiPriority w:val="99"/>
    <w:unhideWhenUsed/>
    <w:rsid w:val="00183cfb"/>
    <w:rPr>
      <w:color w:val="0563C1" w:themeColor="hyperlink"/>
      <w:u w:val="single"/>
    </w:rPr>
  </w:style>
  <w:style w:type="character" w:styleId="11" w:customStyle="1">
    <w:name w:val="Заголовок 1 Знак"/>
    <w:basedOn w:val="DefaultParagraphFont"/>
    <w:uiPriority w:val="9"/>
    <w:qFormat/>
    <w:rsid w:val="003e2ebf"/>
    <w:rPr>
      <w:rFonts w:ascii="Times New Roman" w:hAnsi="Times New Roman" w:eastAsia="" w:cs="" w:cstheme="majorBidi" w:eastAsiaTheme="majorEastAsia"/>
      <w:b/>
      <w:sz w:val="28"/>
      <w:szCs w:val="32"/>
    </w:rPr>
  </w:style>
  <w:style w:type="character" w:styleId="21" w:customStyle="1">
    <w:name w:val="Заголовок 2 Знак"/>
    <w:basedOn w:val="DefaultParagraphFont"/>
    <w:uiPriority w:val="9"/>
    <w:qFormat/>
    <w:rsid w:val="003e2ebf"/>
    <w:rPr>
      <w:rFonts w:ascii="Times New Roman" w:hAnsi="Times New Roman" w:eastAsia="" w:cs="" w:cstheme="majorBidi" w:eastAsiaTheme="majorEastAsia"/>
      <w:b/>
      <w:sz w:val="28"/>
      <w:szCs w:val="26"/>
    </w:rPr>
  </w:style>
  <w:style w:type="character" w:styleId="Style15">
    <w:name w:val="Ссылка указателя"/>
    <w:qFormat/>
    <w:rPr/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Lohit Devanagari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ohit Devanagari"/>
    </w:rPr>
  </w:style>
  <w:style w:type="paragraph" w:styleId="Style22">
    <w:name w:val="Колонтитул"/>
    <w:basedOn w:val="Normal"/>
    <w:qFormat/>
    <w:pPr/>
    <w:rPr/>
  </w:style>
  <w:style w:type="paragraph" w:styleId="Style23">
    <w:name w:val="Header"/>
    <w:basedOn w:val="Normal"/>
    <w:link w:val="Style12"/>
    <w:uiPriority w:val="99"/>
    <w:unhideWhenUsed/>
    <w:rsid w:val="00505077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Style24">
    <w:name w:val="Footer"/>
    <w:basedOn w:val="Normal"/>
    <w:link w:val="Style13"/>
    <w:uiPriority w:val="99"/>
    <w:unhideWhenUsed/>
    <w:rsid w:val="00505077"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Caption">
    <w:name w:val="caption"/>
    <w:basedOn w:val="Normal"/>
    <w:next w:val="Normal"/>
    <w:uiPriority w:val="35"/>
    <w:unhideWhenUsed/>
    <w:qFormat/>
    <w:rsid w:val="00793c2b"/>
    <w:pPr>
      <w:spacing w:lineRule="auto" w:line="240" w:before="0"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183cfb"/>
    <w:pPr>
      <w:spacing w:before="0" w:after="160"/>
      <w:ind w:left="720" w:hanging="0"/>
      <w:contextualSpacing/>
    </w:pPr>
    <w:rPr/>
  </w:style>
  <w:style w:type="paragraph" w:styleId="Style25">
    <w:name w:val="Index Heading"/>
    <w:basedOn w:val="Style17"/>
    <w:pPr/>
    <w:rPr/>
  </w:style>
  <w:style w:type="paragraph" w:styleId="Style26">
    <w:name w:val="TOC Heading"/>
    <w:basedOn w:val="1"/>
    <w:next w:val="Normal"/>
    <w:uiPriority w:val="39"/>
    <w:unhideWhenUsed/>
    <w:qFormat/>
    <w:rsid w:val="003e2ebf"/>
    <w:pPr>
      <w:jc w:val="left"/>
      <w:outlineLvl w:val="9"/>
    </w:pPr>
    <w:rPr>
      <w:rFonts w:ascii="Calibri Light" w:hAnsi="Calibri Light" w:asciiTheme="majorHAnsi" w:hAnsiTheme="majorHAnsi"/>
      <w:b w:val="false"/>
      <w:color w:val="2E74B5" w:themeColor="accent1" w:themeShade="bf"/>
      <w:sz w:val="32"/>
      <w:lang w:eastAsia="ru-RU"/>
    </w:rPr>
  </w:style>
  <w:style w:type="paragraph" w:styleId="12">
    <w:name w:val="TOC 1"/>
    <w:basedOn w:val="Normal"/>
    <w:next w:val="Normal"/>
    <w:autoRedefine/>
    <w:uiPriority w:val="39"/>
    <w:unhideWhenUsed/>
    <w:rsid w:val="003e2ebf"/>
    <w:pPr>
      <w:spacing w:before="0" w:after="100"/>
    </w:pPr>
    <w:rPr/>
  </w:style>
  <w:style w:type="paragraph" w:styleId="22">
    <w:name w:val="TOC 2"/>
    <w:basedOn w:val="Normal"/>
    <w:next w:val="Normal"/>
    <w:autoRedefine/>
    <w:uiPriority w:val="39"/>
    <w:unhideWhenUsed/>
    <w:rsid w:val="003e2ebf"/>
    <w:pPr>
      <w:spacing w:before="0" w:after="100"/>
      <w:ind w:left="220" w:hanging="0"/>
    </w:pPr>
    <w:rPr>
      <w:rFonts w:eastAsia="" w:cs="Times New Roman" w:eastAsiaTheme="minorEastAsia"/>
      <w:lang w:eastAsia="ru-RU"/>
    </w:rPr>
  </w:style>
  <w:style w:type="paragraph" w:styleId="3">
    <w:name w:val="TOC 3"/>
    <w:basedOn w:val="Normal"/>
    <w:next w:val="Normal"/>
    <w:autoRedefine/>
    <w:uiPriority w:val="39"/>
    <w:unhideWhenUsed/>
    <w:rsid w:val="003e2ebf"/>
    <w:pPr>
      <w:spacing w:before="0" w:after="100"/>
      <w:ind w:left="440" w:hanging="0"/>
    </w:pPr>
    <w:rPr>
      <w:rFonts w:eastAsia="" w:cs="Times New Roman" w:eastAsiaTheme="minorEastAsia"/>
      <w:lang w:eastAsia="ru-RU"/>
    </w:rPr>
  </w:style>
  <w:style w:type="paragraph" w:styleId="Style27">
    <w:name w:val="Содержимое врезки"/>
    <w:basedOn w:val="Normal"/>
    <w:qFormat/>
    <w:pPr/>
    <w:rPr/>
  </w:style>
  <w:style w:type="paragraph" w:styleId="Style28">
    <w:name w:val="Содержимое таблицы"/>
    <w:basedOn w:val="Normal"/>
    <w:qFormat/>
    <w:pPr>
      <w:widowControl w:val="false"/>
      <w:suppressLineNumbers/>
    </w:pPr>
    <w:rPr/>
  </w:style>
  <w:style w:type="paragraph" w:styleId="Style29">
    <w:name w:val="Заголовок таблицы"/>
    <w:basedOn w:val="Style2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0ADD2D-C736-4E08-8B2A-CA5E6AD04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7370</TotalTime>
  <Application>LibreOffice/7.3.7.2$Linux_X86_64 LibreOffice_project/30$Build-2</Application>
  <AppVersion>15.0000</AppVersion>
  <Pages>16</Pages>
  <Words>1288</Words>
  <Characters>8606</Characters>
  <CharactersWithSpaces>9795</CharactersWithSpaces>
  <Paragraphs>195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2023-04-30T14:09:00Z</dcterms:created>
  <dc:creator>Павел Белоклоков</dc:creator>
  <dc:description/>
  <dc:language>en-US</dc:language>
  <cp:lastModifiedBy/>
  <dcterms:modified xsi:type="dcterms:W3CDTF">2025-06-16T23:45:55Z</dcterms:modified>
  <cp:revision>165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