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bookmarkStart w:id="0" w:name="_Hlk135648499"/>
      <w:bookmarkEnd w:id="0"/>
      <w:r>
        <w:rPr>
          <w:rFonts w:cs="Times New Roman"/>
          <w:b/>
          <w:sz w:val="32"/>
          <w:szCs w:val="32"/>
        </w:rPr>
        <w:t>Аннотация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Данная работа посвящена численному моделированию воздействия вибрационной нагрузки на трёхмерный образец с использованием метода конечных элементов. Исследование включает в себя постановку задачи, разработку математической модели, реализацию численного метода, анализ результатов и сравнение с теоретическими предсказаниями. Основное внимание уделено моделированию динамики пластины под действием вибрационных нагрузок, а также изучению амплитудно-частотных характеристик системы. Работа включает в себя программную реализацию алгоритмов на языке Python с использованием библиотек NumPy, SciPy и Gmsh для генерации сетки.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i w:val="false"/>
          <w:i w:val="false"/>
          <w:iCs w:val="false"/>
          <w:sz w:val="24"/>
          <w:szCs w:val="24"/>
          <w:lang w:val="ru-RU"/>
        </w:rPr>
      </w:pPr>
      <w:r>
        <w:rPr>
          <w:rFonts w:cs="Times New Roman"/>
          <w:b/>
          <w:bCs/>
          <w:i w:val="false"/>
          <w:iCs w:val="false"/>
          <w:sz w:val="24"/>
          <w:szCs w:val="24"/>
          <w:lang w:val="ru-RU"/>
        </w:rPr>
        <w:t>Ключевые слова</w:t>
      </w:r>
      <w:r>
        <w:rPr>
          <w:rFonts w:cs="Times New Roman"/>
          <w:i w:val="false"/>
          <w:iCs w:val="false"/>
          <w:sz w:val="24"/>
          <w:szCs w:val="24"/>
          <w:lang w:val="ru-RU"/>
        </w:rPr>
        <w:t>: вибрационная нагрузка, метод конечных элементов, трёхмерная модель, амплитудно-частотная характеристика, тензор упругости.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/>
          <w:i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bookmarkStart w:id="1" w:name="_Hlk1356484991"/>
      <w:bookmarkStart w:id="2" w:name="_Hlk1356484991"/>
      <w:bookmarkEnd w:id="2"/>
      <w:r>
        <w:br w:type="page"/>
      </w:r>
    </w:p>
    <w:p>
      <w:pPr>
        <w:pStyle w:val="Normal"/>
        <w:spacing w:lineRule="auto" w:line="360" w:before="0" w:after="120"/>
        <w:ind w:left="567" w:right="567" w:firstLine="709"/>
        <w:jc w:val="center"/>
        <w:rPr>
          <w:sz w:val="32"/>
          <w:szCs w:val="32"/>
        </w:rPr>
      </w:pPr>
      <w:r>
        <w:rPr>
          <w:rFonts w:cs="Times New Roman"/>
          <w:b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  <w:id w:val="511087444"/>
      </w:sdtPr>
      <w:sdtContent>
        <w:p>
          <w:pPr>
            <w:pStyle w:val="Style26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12"/>
            <w:tabs>
              <w:tab w:val="clear" w:pos="708"/>
              <w:tab w:val="right" w:pos="9639" w:leader="dot"/>
            </w:tabs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1468_2851463088"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639" w:leader="dot"/>
            </w:tabs>
            <w:rPr/>
          </w:pPr>
          <w:hyperlink w:anchor="__RefHeading___Toc1470_2851463088">
            <w:r>
              <w:rPr/>
              <w:t>Линейная теория упругости.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/>
          <w:b/>
          <w:sz w:val="28"/>
        </w:rPr>
      </w:r>
      <w:r>
        <w:br w:type="page"/>
      </w:r>
    </w:p>
    <w:p>
      <w:pPr>
        <w:pStyle w:val="1"/>
        <w:rPr>
          <w:sz w:val="32"/>
          <w:szCs w:val="32"/>
        </w:rPr>
      </w:pPr>
      <w:bookmarkStart w:id="3" w:name="__RefHeading___Toc1468_2851463088"/>
      <w:bookmarkStart w:id="4" w:name="_Toc137252441"/>
      <w:bookmarkStart w:id="5" w:name="_Hlk135648657"/>
      <w:bookmarkEnd w:id="3"/>
      <w:bookmarkEnd w:id="5"/>
      <w:r>
        <w:rPr>
          <w:sz w:val="32"/>
          <w:szCs w:val="32"/>
        </w:rPr>
        <w:t>Введение</w:t>
      </w:r>
      <w:bookmarkEnd w:id="4"/>
    </w:p>
    <w:p>
      <w:pPr>
        <w:pStyle w:val="Style18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Рассмотрение вибрационных свойств пластинных конструкций имеет прикладное значение в авиастроении, судостроении и машиностроении. В частности, точное знание резонансных частот и форм колебаний позволяет прогнозировать потенциально опасные режимы эксплуатации.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bookmarkStart w:id="6" w:name="_Hlk1356486571"/>
      <w:bookmarkEnd w:id="6"/>
      <w:r>
        <w:rPr>
          <w:rFonts w:cs="Times New Roman"/>
          <w:sz w:val="24"/>
          <w:szCs w:val="24"/>
        </w:rPr>
        <w:t xml:space="preserve">Задачу можно решить аналитически лишь для очень простых случаев. Основным же методом для исследования данного вопроса для произвольной геометрии является численное моделирование. 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моделирования простых объектов, таких как, пластина в основном используют различные приближения, такие как гипотеза Кирхгофа-Лява или Рейсена-Миндлина, которые сводят задачу к двумерному случаю путем исследования поведения срединной плоскости. Эти приближения довольно точные и дешевые с точки зрения вычислительных ресурсов. Однако качество решения ухудшается при увеличении толщины пластины, и кроме того, данные модели не позволяют моделировать произвольную геометрию.  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Целью моей работы было решение данной задачи с использованием трехмерных уравнений динамики, а также линейной теории упругости, что дает возможность точнее исследовать напряженное состояние для достаточно произвольной геометрии.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Весь код написан на языке Python с использованием пакетов Numpy и Scipy и может быть запущен на любом вычислительном устройстве.</w:t>
      </w:r>
    </w:p>
    <w:p>
      <w:pPr>
        <w:pStyle w:val="Normal"/>
        <w:spacing w:lineRule="auto" w:line="360" w:before="0" w:after="120"/>
        <w:ind w:left="567" w:right="567" w:firstLine="709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// мб накидать про layer-wise модели и их сравнение из Reddy. Надо добить до второй страницы.</w:t>
      </w:r>
      <w:r>
        <w:br w:type="page"/>
      </w:r>
    </w:p>
    <w:p>
      <w:pPr>
        <w:pStyle w:val="1"/>
        <w:spacing w:lineRule="auto" w:line="360"/>
        <w:rPr>
          <w:sz w:val="32"/>
          <w:szCs w:val="32"/>
        </w:rPr>
      </w:pPr>
      <w:bookmarkStart w:id="7" w:name="__RefHeading___Toc1470_2851463088"/>
      <w:bookmarkEnd w:id="7"/>
      <w:r>
        <w:rPr>
          <w:sz w:val="32"/>
          <w:szCs w:val="32"/>
        </w:rPr>
        <w:t>Линейная теория упругости.</w:t>
      </w:r>
    </w:p>
    <w:p>
      <w:pPr>
        <w:pStyle w:val="Normal"/>
        <w:spacing w:lineRule="auto" w:line="360"/>
        <w:ind w:left="0" w:right="0" w:firstLine="850"/>
        <w:jc w:val="both"/>
        <w:rPr>
          <w:sz w:val="24"/>
          <w:szCs w:val="24"/>
        </w:rPr>
      </w:pPr>
      <w:r>
        <w:rPr>
          <w:sz w:val="24"/>
          <w:szCs w:val="24"/>
        </w:rPr>
        <w:t>Интерес представляет решение задачи в приближении малых деформаций, поэтому в данной работе используется линейная теория упругости. Во многих учебниках по механике твердого деформируемого тела представлены основные уравнения теории упругости. Приведу их краткое изложение.</w:t>
      </w:r>
    </w:p>
    <w:p>
      <w:pPr>
        <w:pStyle w:val="Normal"/>
        <w:spacing w:lineRule="auto" w:line="360"/>
        <w:ind w:left="0" w:right="0" w:firstLine="850"/>
        <w:jc w:val="both"/>
        <w:rPr>
          <w:sz w:val="24"/>
        </w:rPr>
      </w:pPr>
      <w:r>
        <w:rPr>
          <w:sz w:val="24"/>
          <w:szCs w:val="24"/>
        </w:rPr>
        <w:t>Для описания напряженного состояния вводится вектор напряжения как предел отношения силы к площади поверхности: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func>
                  <m:fName>
                    <m:limLow>
                      <m:e>
                        <m:r>
                          <w:rPr>
                            <w:rFonts w:ascii="Cambria Math" w:hAnsi="Cambria Math"/>
                          </w:rPr>
                          <m:t xml:space="preserve"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lim>
                    </m:limLow>
                  </m:fName>
                  <m:e>
                    <m:f>
                      <m:num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/>
          <w:b/>
          <w:bCs/>
          <w:sz w:val="28"/>
        </w:rPr>
      </w:pPr>
      <w:r>
        <w:rPr>
          <w:rFonts w:eastAsia="" w:cs="Times New Roman" w:eastAsiaTheme="minorEastAsia"/>
          <w:b/>
          <w:bCs/>
          <w:sz w:val="28"/>
        </w:rPr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sz w:val="24"/>
          <w:szCs w:val="24"/>
        </w:rPr>
      </w:pPr>
      <w:r>
        <w:rPr>
          <w:rFonts w:eastAsia="" w:cs="Times New Roman" w:eastAsiaTheme="minorEastAsia"/>
          <w:b w:val="false"/>
          <w:bCs w:val="false"/>
          <w:sz w:val="24"/>
          <w:szCs w:val="24"/>
        </w:rPr>
        <w:t>Для данного вектора применяется постулат Коши, который гласит, что этот вектор зависит только от координаты и нормали к поверхности: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(2)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jc w:val="center"/>
        <w:rPr/>
      </w:pPr>
      <w:r>
        <w:rPr/>
      </w:r>
    </w:p>
    <w:p>
      <w:pPr>
        <w:pStyle w:val="Normal"/>
        <w:spacing w:lineRule="auto" w:line="360" w:before="0" w:after="120"/>
        <w:ind w:right="567" w:hanging="0"/>
        <w:jc w:val="both"/>
        <w:rPr/>
      </w:pPr>
      <w:r>
        <w:rPr/>
        <w:t>Также существует лемма Коши: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(3)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rPr>
          <w:bCs/>
          <w:iCs/>
          <w:szCs w:val="24"/>
        </w:rPr>
      </w:pPr>
      <w:r>
        <w:rPr>
          <w:bCs/>
          <w:iCs/>
          <w:szCs w:val="24"/>
        </w:rPr>
      </w:r>
    </w:p>
    <w:p>
      <w:pPr>
        <w:pStyle w:val="Normal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sz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Для дальнейшего рассмотрения удобнее использовать тензоры. В механике сплошных сред в основном используются тензоры второго и четвертого рангов. Тензор второго ранга можно определить как линейный оператор над пространством векторов. Тензор четвертого ранга, в свою очередь, это линейный оператор над пространством тензоров второго ранга. Все вместе позволяет сформировать фундаментальную теорему Коши в виде: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σ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acc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(4)</w:t>
            </w:r>
          </w:p>
        </w:tc>
      </w:tr>
    </w:tbl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</m:oMath>
      <w:r>
        <w:rPr>
          <w:rFonts w:eastAsia="" w:cs="Times New Roman" w:eastAsiaTheme="minorEastAsia"/>
          <w:bCs/>
          <w:iCs/>
          <w:sz w:val="24"/>
          <w:szCs w:val="24"/>
        </w:rPr>
        <w:t>- это тензор напряжений Коши. // умножать справа или слева?</w:t>
      </w:r>
    </w:p>
    <w:p>
      <w:pPr>
        <w:pStyle w:val="Normal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Приведу некоторые свойства данного тензора:</w:t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1. Из равенства моментов, действующих на тело, следует следует симметричность данного тензора: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σ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σ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(5)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120"/>
        <w:ind w:left="0"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120"/>
        <w:ind w:left="0"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>2. Каждому тензору соответствует матрица. Диагональные элементы матрицы тензора напряжения соответствуют сжимающим или разрывающим напряжениям. Недиагональные элементы соответствуют сдвиговым напряжениям.</w:t>
      </w:r>
    </w:p>
    <w:p>
      <w:pPr>
        <w:pStyle w:val="Normal"/>
        <w:widowControl/>
        <w:suppressAutoHyphens w:val="true"/>
        <w:bidi w:val="0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color w:val="C9211E"/>
          <w:sz w:val="24"/>
          <w:szCs w:val="24"/>
        </w:rPr>
        <w:t>?</w:t>
      </w:r>
      <w:r>
        <w:rPr>
          <w:rFonts w:eastAsia="" w:cs="Times New Roman" w:eastAsiaTheme="minorEastAsia"/>
          <w:bCs/>
          <w:iCs/>
          <w:color w:val="000000"/>
          <w:sz w:val="24"/>
          <w:szCs w:val="24"/>
        </w:rPr>
        <w:t>Д</w:t>
      </w:r>
      <w:r>
        <w:rPr>
          <w:rFonts w:eastAsia="" w:cs="Times New Roman" w:eastAsiaTheme="minorEastAsia"/>
          <w:bCs/>
          <w:iCs/>
          <w:sz w:val="24"/>
          <w:szCs w:val="24"/>
        </w:rPr>
        <w:t>алее для отображения напряженного состояния на реакцию вводится отсчетная и текущая конфигурации. С отсчетной конфигурацией будем связывать положение тела в начальный момент времени, с текущей — в момент времени t.</w:t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137160</wp:posOffset>
            </wp:positionH>
            <wp:positionV relativeFrom="paragraph">
              <wp:posOffset>-24765</wp:posOffset>
            </wp:positionV>
            <wp:extent cx="5828665" cy="35223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κ</m:t>
                </m:r>
                <m:r>
                  <w:rPr>
                    <w:rFonts w:ascii="Cambria Math" w:hAnsi="Cambria Math"/>
                  </w:rPr>
                  <m:t xml:space="preserve">: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</m:e>
                </m:d>
              </m:oMath>
            </m:oMathPara>
          </w:p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χ</m:t>
                </m:r>
                <m:r>
                  <w:rPr>
                    <w:rFonts w:ascii="Cambria Math" w:hAnsi="Cambria Math"/>
                  </w:rPr>
                  <m:t xml:space="preserve">: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(6)</w:t>
            </w:r>
          </w:p>
        </w:tc>
      </w:tr>
    </w:tbl>
    <w:p>
      <w:pPr>
        <w:pStyle w:val="Normal"/>
        <w:jc w:val="both"/>
        <w:rPr/>
      </w:pPr>
      <w:r>
        <w:rPr/>
        <w:t xml:space="preserve">Где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 xml:space="preserve"> - положение материальной точки в отсчетной конфигурации,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/>
        <w:t xml:space="preserve"> - в текущей.</w:t>
      </w:r>
    </w:p>
    <w:p>
      <w:pPr>
        <w:pStyle w:val="Normal"/>
        <w:spacing w:lineRule="auto" w:line="360" w:before="0" w:after="120"/>
        <w:ind w:left="0" w:right="567" w:firstLine="85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  <w:t xml:space="preserve">Вводится тензор дисторсии F как: </w:t>
      </w:r>
    </w:p>
    <w:p>
      <w:pPr>
        <w:pStyle w:val="Normal"/>
        <w:spacing w:lineRule="auto" w:line="360" w:before="0" w:after="120"/>
        <w:ind w:right="567" w:hanging="0"/>
        <w:jc w:val="both"/>
        <w:rPr>
          <w:rFonts w:ascii="Times New Roman" w:hAnsi="Times New Roman" w:eastAsia="" w:cs="Times New Roman" w:eastAsiaTheme="minorEastAsia"/>
          <w:bCs/>
          <w:iCs/>
          <w:sz w:val="24"/>
          <w:szCs w:val="24"/>
        </w:rPr>
      </w:pPr>
      <w:r>
        <w:rPr>
          <w:rFonts w:eastAsia="" w:cs="Times New Roman" w:eastAsiaTheme="minorEastAsia"/>
          <w:bCs/>
          <w:iCs/>
          <w:sz w:val="24"/>
          <w:szCs w:val="24"/>
        </w:rPr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(7)</w:t>
            </w:r>
          </w:p>
        </w:tc>
      </w:tr>
    </w:tbl>
    <w:p>
      <w:pPr>
        <w:pStyle w:val="Normal"/>
        <w:ind w:left="0" w:right="0" w:firstLine="850"/>
        <w:jc w:val="both"/>
        <w:rPr/>
      </w:pPr>
      <w:r>
        <w:rPr/>
        <w:t xml:space="preserve">Определим вектор перемещения из равенства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</m:oMath>
      <w:r>
        <w:rPr/>
        <w:t>. Тогда можно показать, что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(8)</w:t>
            </w:r>
          </w:p>
        </w:tc>
      </w:tr>
    </w:tbl>
    <w:p>
      <w:pPr>
        <w:pStyle w:val="Normal"/>
        <w:jc w:val="both"/>
        <w:rPr/>
      </w:pPr>
      <w:r>
        <w:rPr/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 xml:space="preserve">- единичный тензор,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κ</m:t>
            </m:r>
          </m:sub>
        </m:sSub>
        <m:r>
          <w:rPr>
            <w:rFonts w:ascii="Cambria Math" w:hAnsi="Cambria Math"/>
          </w:rPr>
          <m:t xml:space="preserve">⊗</m:t>
        </m:r>
      </m:oMath>
      <w:r>
        <w:rPr/>
        <w:t xml:space="preserve"> - обозначение градиента тензорного поля. Далее нам потребуется формула:</w:t>
      </w:r>
    </w:p>
    <w:tbl>
      <w:tblPr>
        <w:tblW w:w="10352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4"/>
        <w:gridCol w:w="397"/>
      </w:tblGrid>
      <w:tr>
        <w:trPr/>
        <w:tc>
          <w:tcPr>
            <w:tcW w:w="9954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sSup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κ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</m:t>
                </m:r>
                <m:sSup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397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(9)</w:t>
            </w:r>
          </w:p>
        </w:tc>
      </w:tr>
    </w:tbl>
    <w:p>
      <w:pPr>
        <w:pStyle w:val="Normal"/>
        <w:jc w:val="both"/>
        <w:rPr/>
      </w:pPr>
      <w:r>
        <w:rPr/>
        <w:t xml:space="preserve">Что в случае линейной теории дает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κ</m:t>
            </m:r>
          </m:sub>
        </m:sSub>
        <m:r>
          <w:rPr>
            <w:rFonts w:ascii="Cambria Math" w:hAnsi="Cambria Math"/>
          </w:rPr>
          <m:t xml:space="preserve">⊗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u</m:t>
            </m:r>
          </m:e>
        </m:acc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κ</m:t>
            </m:r>
          </m:sub>
        </m:sSub>
        <m:r>
          <w:rPr>
            <w:rFonts w:ascii="Cambria Math" w:hAnsi="Cambria Math"/>
          </w:rPr>
          <m:t xml:space="preserve">⊗</m:t>
        </m:r>
        <m:s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ind w:left="0" w:right="0" w:firstLine="850"/>
        <w:jc w:val="both"/>
        <w:rPr/>
      </w:pPr>
      <w:r>
        <w:rPr/>
        <w:t>Необходимо также ввести тензор малых деформаций. Для этого рассмотрим коэффициент удлинения: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6"/>
        <w:gridCol w:w="529"/>
      </w:tblGrid>
      <w:tr>
        <w:trPr/>
        <w:tc>
          <w:tcPr>
            <w:tcW w:w="9956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e>
                        </m:acc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r>
                      <w:rPr>
                        <w:rFonts w:ascii="Cambria Math" w:hAnsi="Cambria Math"/>
                      </w:rPr>
                      <m:t xml:space="preserve">⋅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</m:e>
                </m:rad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⊗</m:t>
                        </m:r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κ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⊗</m:t>
                        </m:r>
                        <m:sSup>
                          <m:e>
                            <m:acc>
                              <m:accPr>
                                <m:chr m:val="⃗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⋅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</m:acc>
                  </m:e>
                </m:rad>
                <m:r>
                  <w:rPr>
                    <w:rFonts w:ascii="Cambria Math" w:hAnsi="Cambria Math"/>
                  </w:rPr>
                  <m:t xml:space="preserve">≈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⋅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</m:acc>
              </m:oMath>
            </m:oMathPara>
          </w:p>
        </w:tc>
        <w:tc>
          <w:tcPr>
            <w:tcW w:w="529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(10)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6"/>
        <w:gridCol w:w="529"/>
      </w:tblGrid>
      <w:tr>
        <w:trPr/>
        <w:tc>
          <w:tcPr>
            <w:tcW w:w="9956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  <m:r>
                      <w:rPr>
                        <w:rFonts w:ascii="Cambria Math" w:hAnsi="Cambria Math"/>
                      </w:rPr>
                      <m:t xml:space="preserve">⊗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∇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⊗</m:t>
                            </m:r>
                            <m:acc>
                              <m:accPr>
                                <m:chr m:val="⃗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29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(11)</w:t>
            </w:r>
          </w:p>
        </w:tc>
      </w:tr>
    </w:tbl>
    <w:p>
      <w:pPr>
        <w:pStyle w:val="Normal"/>
        <w:jc w:val="both"/>
        <w:rPr/>
      </w:pPr>
      <w:r>
        <w:rPr/>
        <w:t xml:space="preserve">Где было использовано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</m:oMath>
      <w:r>
        <w:rPr/>
        <w:t>- тензор малых деформаций.</w:t>
      </w:r>
    </w:p>
    <w:p>
      <w:pPr>
        <w:pStyle w:val="Normal"/>
        <w:ind w:left="0" w:right="0" w:firstLine="850"/>
        <w:jc w:val="both"/>
        <w:rPr/>
      </w:pPr>
      <w:r>
        <w:rPr/>
        <w:t>Аналогично тензору напряжений, диагональные элементы матрицы тензора малых деформаций соответствуют деформациям растяжения или сжатия, недиагональные — деформациям сдвига. Кроме того, он по построению симметричен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eastAsia="" w:cs="Times New Roman" w:eastAsiaTheme="minorEastAsia"/>
          <w:iCs/>
          <w:sz w:val="24"/>
          <w:szCs w:val="24"/>
          <w:lang w:val="en-US"/>
        </w:rPr>
      </w:pPr>
      <w:r>
        <w:rPr>
          <w:color w:val="FF0000"/>
        </w:rPr>
        <w:t>Расширить</w:t>
      </w:r>
      <w:r>
        <w:rPr/>
        <w:t xml:space="preserve"> Определяющее соотношение получается из второго начала термодинамики и носит название закона Гука: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color w:val="000000"/>
        </w:rPr>
      </w:pPr>
      <w:r>
        <w:rPr>
          <w:color w:val="000000"/>
        </w:rPr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σ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ε</m:t>
                </m:r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(12)</w:t>
            </w:r>
          </w:p>
        </w:tc>
      </w:tr>
    </w:tbl>
    <w:p>
      <w:pPr>
        <w:pStyle w:val="Normal"/>
        <w:rPr/>
      </w:pPr>
      <w:r>
        <w:rPr/>
        <w:t>Где C — тензор упругих модулей. Это тензор четвертого ранга, который, исходя из закона Гука и свойств тензоров напряжения и малых деформаций, обладает симметрией: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ijkm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ijmk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jikm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kmij</m:t>
                    </m:r>
                  </m:sub>
                </m:sSub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0" w:right="0" w:firstLine="850"/>
        <w:rPr/>
      </w:pPr>
      <w:r>
        <w:rPr/>
        <w:t>Таким образом, у данного тензора двадцать одна независимая компонента. Однако, учитывая принцип объективности и симметрию, для изотропного тела тензор упругих модулей зависит всего от двух констант — параметров Ламе, и закон Гука можно представить в более простой форме: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>
          <w:trHeight w:val="505" w:hRule="atLeast"/>
        </w:trPr>
        <w:tc>
          <w:tcPr>
            <w:tcW w:w="9955" w:type="dxa"/>
            <w:tcBorders/>
          </w:tcPr>
          <w:p>
            <w:pPr>
              <w:pStyle w:val="Normal"/>
              <w:widowControl w:val="false"/>
              <w:spacing w:lineRule="auto" w:line="360" w:before="0" w:after="120"/>
              <w:ind w:left="567" w:right="567" w:firstLine="709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σ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λ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</m:d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ε</m:t>
                </m:r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(14)</w:t>
            </w:r>
          </w:p>
        </w:tc>
      </w:tr>
    </w:tbl>
    <w:p>
      <w:pPr>
        <w:pStyle w:val="Normal"/>
        <w:ind w:left="0" w:right="0" w:firstLine="850"/>
        <w:rPr/>
      </w:pPr>
      <w:r>
        <w:rPr/>
        <w:t>Не хватает только динамического уравнения,  которое будет описывать движение тела. Это уравнение получается из принципа Гамильтона, который может быть математически  сформулирован в следующим образом: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>
          <w:trHeight w:val="505" w:hRule="atLeast"/>
        </w:trPr>
        <w:tc>
          <w:tcPr>
            <w:tcW w:w="9955" w:type="dxa"/>
            <w:tcBorders/>
          </w:tcPr>
          <w:p>
            <w:pPr>
              <w:pStyle w:val="Normal"/>
              <w:widowControl w:val="false"/>
              <w:spacing w:lineRule="auto" w:line="360" w:before="0" w:after="120"/>
              <w:ind w:left="567" w:right="567" w:firstLine="709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δ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nary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∇</m:t>
                    </m:r>
                    <m:r>
                      <w:rPr>
                        <w:rFonts w:ascii="Cambria Math" w:hAnsi="Cambria Math"/>
                      </w:rPr>
                      <m:t xml:space="preserve">⊗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,</m:t>
                    </m:r>
                    <m:acc>
                      <m:accPr>
                        <m:chr m:val="˙"/>
                      </m:accPr>
                      <m:e>
                        <m:acc>
                          <m:accPr>
                            <m:chr m:val="⃗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</m:acc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dt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(15)</w:t>
            </w:r>
          </w:p>
        </w:tc>
      </w:tr>
    </w:tbl>
    <w:p>
      <w:pPr>
        <w:pStyle w:val="Normal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Π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- кинетическая энергия тела,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/>
        <w:t xml:space="preserve">- потенциальная, она может быть представлена как сумма потенциальной энергии внешних сил и энергии напряженного состояния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</m:oMath>
      <w:r>
        <w:rPr/>
        <w:t>.</w:t>
      </w:r>
    </w:p>
    <w:p>
      <w:pPr>
        <w:pStyle w:val="Normal"/>
        <w:ind w:left="0" w:right="0" w:firstLine="850"/>
        <w:rPr/>
      </w:pPr>
      <w:r>
        <w:rPr/>
        <w:t xml:space="preserve">Для идеально-упругого тела существует функция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nary>
        <m:r>
          <w:rPr>
            <w:rFonts w:ascii="Cambria Math" w:hAnsi="Cambria Math"/>
          </w:rPr>
          <m:t xml:space="preserve">dV</m:t>
        </m:r>
      </m:oMath>
      <w:r>
        <w:rPr/>
        <w:t>такая что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σ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ε</m:t>
                    </m:r>
                  </m:den>
                </m:f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(16)</w:t>
            </w:r>
          </w:p>
        </w:tc>
      </w:tr>
    </w:tbl>
    <w:p>
      <w:pPr>
        <w:pStyle w:val="Normal"/>
        <w:ind w:left="0" w:right="0" w:firstLine="850"/>
        <w:rPr>
          <w:color w:val="C9211E"/>
        </w:rPr>
      </w:pPr>
      <w:r>
        <w:rPr>
          <w:color w:val="C9211E"/>
        </w:rPr>
        <w:t xml:space="preserve">? </w:t>
      </w:r>
      <w:r>
        <w:rPr>
          <w:color w:val="000000"/>
        </w:rPr>
        <w:t xml:space="preserve">Вариация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V</m:t>
        </m:r>
      </m:oMath>
      <w:r>
        <w:rPr>
          <w:color w:val="000000"/>
        </w:rPr>
        <w:t>может быть выражения через объемные и контактные силы: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δ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dV</m:t>
                </m:r>
                <m:r>
                  <w:rPr>
                    <w:rFonts w:ascii="Cambria Math" w:hAnsi="Cambria Math"/>
                  </w:rPr>
                  <m:t xml:space="preserve">+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δ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dS</m:t>
                </m:r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(13)</w:t>
            </w:r>
          </w:p>
        </w:tc>
      </w:tr>
    </w:tbl>
    <w:p>
      <w:pPr>
        <w:pStyle w:val="Normal"/>
        <w:ind w:left="0" w:right="0" w:firstLine="850"/>
        <w:rPr>
          <w:color w:val="C9211E"/>
        </w:rPr>
      </w:pPr>
      <w:r>
        <w:rPr>
          <w:color w:val="000000"/>
        </w:rPr>
        <w:t>Кинетическая энергия определяется как: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nary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dV</m:t>
                </m:r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(13)</w:t>
            </w:r>
          </w:p>
        </w:tc>
      </w:tr>
    </w:tbl>
    <w:p>
      <w:pPr>
        <w:pStyle w:val="Normal"/>
        <w:ind w:left="0" w:right="0" w:firstLine="850"/>
        <w:rPr>
          <w:color w:val="C9211E"/>
        </w:rPr>
      </w:pPr>
      <w:r>
        <w:rPr>
          <w:color w:val="000000"/>
        </w:rPr>
        <w:t>В результате получаем уравнение динамики в следующей форме:</w:t>
      </w:r>
    </w:p>
    <w:tbl>
      <w:tblPr>
        <w:tblW w:w="10486" w:type="dxa"/>
        <w:jc w:val="left"/>
        <w:tblInd w:w="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5"/>
        <w:gridCol w:w="530"/>
      </w:tblGrid>
      <w:tr>
        <w:trPr/>
        <w:tc>
          <w:tcPr>
            <w:tcW w:w="9955" w:type="dxa"/>
            <w:tcBorders/>
          </w:tcPr>
          <w:p>
            <w:pPr>
              <w:pStyle w:val="Style28"/>
              <w:widowControl w:val="false"/>
              <w:spacing w:before="0" w:after="16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acc>
                  <m:accPr>
                    <m:chr m:val="¨"/>
                  </m:accPr>
                  <m:e>
                    <m:acc>
                      <m:accPr>
                        <m:chr m:val="⃗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∇</m:t>
                </m:r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</m:oMath>
            </m:oMathPara>
          </w:p>
        </w:tc>
        <w:tc>
          <w:tcPr>
            <w:tcW w:w="530" w:type="dxa"/>
            <w:tcBorders/>
          </w:tcPr>
          <w:p>
            <w:pPr>
              <w:pStyle w:val="Style28"/>
              <w:widowControl w:val="false"/>
              <w:spacing w:before="0" w:after="160"/>
              <w:jc w:val="right"/>
              <w:rPr/>
            </w:pPr>
            <w:r>
              <w:rPr/>
              <w:t>(13)</w:t>
            </w:r>
          </w:p>
        </w:tc>
      </w:tr>
    </w:tbl>
    <w:p>
      <w:pPr>
        <w:pStyle w:val="Normal"/>
        <w:spacing w:before="0" w:after="160"/>
        <w:ind w:left="0" w:right="0" w:firstLine="850"/>
        <w:rPr>
          <w:color w:val="C9211E"/>
        </w:rPr>
      </w:pPr>
      <w:r>
        <w:rPr>
          <w:color w:val="000000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ε</m:t>
            </m:r>
          </m:e>
        </m:d>
      </m:oMath>
      <w:r>
        <w:rPr>
          <w:color w:val="000000"/>
        </w:rPr>
        <w:t>означает дивергенцию данного пр</w:t>
      </w:r>
      <w:r>
        <w:rPr>
          <w:color w:val="000000"/>
        </w:rPr>
        <w:t>о</w:t>
      </w:r>
      <w:r>
        <w:rPr>
          <w:color w:val="000000"/>
        </w:rPr>
        <w:t>изведения.</w:t>
      </w:r>
    </w:p>
    <w:sectPr>
      <w:footerReference w:type="default" r:id="rId3"/>
      <w:type w:val="nextPage"/>
      <w:pgSz w:w="11906" w:h="16838"/>
      <w:pgMar w:left="1417" w:right="850" w:gutter="0" w:header="0" w:top="1701" w:footer="850" w:bottom="158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30132427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3e2ebf"/>
    <w:pPr>
      <w:keepNext w:val="true"/>
      <w:keepLines/>
      <w:spacing w:before="240" w:after="12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e2ebf"/>
    <w:pPr>
      <w:keepNext w:val="true"/>
      <w:keepLines/>
      <w:spacing w:before="120" w:after="120"/>
      <w:jc w:val="center"/>
      <w:outlineLvl w:val="1"/>
    </w:pPr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505077"/>
    <w:rPr/>
  </w:style>
  <w:style w:type="character" w:styleId="Style13" w:customStyle="1">
    <w:name w:val="Нижний колонтитул Знак"/>
    <w:basedOn w:val="DefaultParagraphFont"/>
    <w:uiPriority w:val="99"/>
    <w:qFormat/>
    <w:rsid w:val="00505077"/>
    <w:rPr/>
  </w:style>
  <w:style w:type="character" w:styleId="PlaceholderText">
    <w:name w:val="Placeholder Text"/>
    <w:basedOn w:val="DefaultParagraphFont"/>
    <w:uiPriority w:val="99"/>
    <w:semiHidden/>
    <w:qFormat/>
    <w:rsid w:val="00765309"/>
    <w:rPr>
      <w:color w:val="808080"/>
    </w:rPr>
  </w:style>
  <w:style w:type="character" w:styleId="Style14">
    <w:name w:val="Интернет-ссылка"/>
    <w:basedOn w:val="DefaultParagraphFont"/>
    <w:uiPriority w:val="99"/>
    <w:unhideWhenUsed/>
    <w:rsid w:val="00183cfb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3e2ebf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3e2ebf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2"/>
    <w:uiPriority w:val="99"/>
    <w:unhideWhenUsed/>
    <w:rsid w:val="0050507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3"/>
    <w:uiPriority w:val="99"/>
    <w:unhideWhenUsed/>
    <w:rsid w:val="0050507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793c2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cfb"/>
    <w:pPr>
      <w:spacing w:before="0" w:after="160"/>
      <w:ind w:left="720" w:hanging="0"/>
      <w:contextualSpacing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3e2ebf"/>
    <w:pPr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3e2ebf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3e2ebf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3">
    <w:name w:val="TOC 3"/>
    <w:basedOn w:val="Normal"/>
    <w:next w:val="Normal"/>
    <w:autoRedefine/>
    <w:uiPriority w:val="39"/>
    <w:unhideWhenUsed/>
    <w:rsid w:val="003e2ebf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ADD2D-C736-4E08-8B2A-CA5E6AD0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7317</TotalTime>
  <Application>LibreOffice/7.3.7.2$Linux_X86_64 LibreOffice_project/30$Build-2</Application>
  <AppVersion>15.0000</AppVersion>
  <Pages>7</Pages>
  <Words>727</Words>
  <Characters>4993</Characters>
  <CharactersWithSpaces>5674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2023-04-30T14:09:00Z</dcterms:created>
  <dc:creator>Павел Белоклоков</dc:creator>
  <dc:description/>
  <dc:language>en-US</dc:language>
  <cp:lastModifiedBy/>
  <dcterms:modified xsi:type="dcterms:W3CDTF">2025-06-15T20:43:47Z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