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
      </w:pPr>
      <w:r>
        <w:rPr>
          <w:rFonts w:ascii="Arial" w:cs="Arial" w:eastAsia="Arial" w:hAnsi="Arial"/>
          <w:b/>
          <w:bCs/>
          <w:color w:val="0D2B45"/>
          <w:sz w:val="56"/>
          <w:szCs w:val="56"/>
        </w:rPr>
        <w:t xml:space="preserve">Investment Structure Comparison</w:t>
      </w:r>
    </w:p>
    <w:p>
      <w:pPr>
        <w:spacing w:before="0" w:after="40"/>
      </w:pPr>
      <w:r>
        <w:rPr>
          <w:rFonts w:ascii="Arial" w:cs="Arial" w:eastAsia="Arial" w:hAnsi="Arial"/>
          <w:color w:val="2E6DA4"/>
          <w:sz w:val="32"/>
          <w:szCs w:val="32"/>
        </w:rPr>
        <w:t xml:space="preserve">Swedish AB  ·  €10M Crypto Investment Round</w:t>
      </w:r>
    </w:p>
    <w:p>
      <w:pPr>
        <w:spacing w:before="0" w:after="240"/>
      </w:pPr>
      <w:r>
        <w:rPr>
          <w:rFonts w:ascii="Arial" w:cs="Arial" w:eastAsia="Arial" w:hAnsi="Arial"/>
          <w:i/>
          <w:iCs/>
          <w:color w:val="555577"/>
          <w:sz w:val="24"/>
          <w:szCs w:val="24"/>
        </w:rPr>
        <w:t xml:space="preserve">Direct  vs  Delaware SPV  vs  Luxembourg Holding Company</w:t>
      </w:r>
    </w:p>
    <w:p>
      <w:pPr>
        <w:pBdr>
          <w:bottom w:val="single" w:color="2E6DA4" w:sz="8" w:space="1"/>
        </w:pBdr>
        <w:spacing w:before="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2E6DA4" w:sz="16"/>
              <w:bottom w:val="single" w:color="DDDDDD" w:sz="1"/>
              <w:right w:val="single" w:color="DDDDDD" w:sz="1"/>
            </w:tcBorders>
            <w:shd w:fill="EBF4FB" w:val="clear"/>
            <w:tcMar>
              <w:top w:type="dxa" w:w="160"/>
              <w:left w:type="dxa" w:w="240"/>
              <w:bottom w:type="dxa" w:w="160"/>
              <w:right w:type="dxa" w:w="200"/>
            </w:tcMar>
          </w:tcPr>
          <w:p>
            <w:pPr>
              <w:spacing w:before="0" w:after="60"/>
            </w:pPr>
            <w:r>
              <w:rPr>
                <w:rFonts w:ascii="Arial" w:cs="Arial" w:eastAsia="Arial" w:hAnsi="Arial"/>
                <w:b/>
                <w:bCs/>
                <w:color w:val="1B3A5C"/>
                <w:sz w:val="22"/>
                <w:szCs w:val="22"/>
              </w:rPr>
              <w:t xml:space="preserve">Executive Summary</w:t>
            </w:r>
          </w:p>
          <w:p>
            <w:pPr>
              <w:spacing w:before="0" w:after="60"/>
            </w:pPr>
            <w:r>
              <w:rPr>
                <w:rFonts w:ascii="Arial" w:cs="Arial" w:eastAsia="Arial" w:hAnsi="Arial"/>
                <w:color w:val="1A1A2E"/>
                <w:sz w:val="20"/>
                <w:szCs w:val="20"/>
              </w:rPr>
              <w:t xml:space="preserve">This document compares three structural approaches to investing €10M into an established Swedish AB (incorporated 2017) from a group of international investors using cryptocurrency (BTC, ETH, or stablecoins). The three approaches are: (1) Direct investment into the AB, (2) Investment via a Delaware LLC or C-Corp SPV, and (3) Investment via a Luxembourg holding company (SOPARFI or SCSp).</w:t>
            </w:r>
          </w:p>
          <w:p>
            <w:pPr>
              <w:spacing w:before="0" w:after="0"/>
            </w:pPr>
            <w:r>
              <w:rPr>
                <w:rFonts w:ascii="Arial" w:cs="Arial" w:eastAsia="Arial" w:hAnsi="Arial"/>
                <w:i/>
                <w:iCs/>
                <w:color w:val="1A1A2E"/>
                <w:sz w:val="20"/>
                <w:szCs w:val="20"/>
              </w:rPr>
              <w:t xml:space="preserve">Conclusion: For a predominantly non-US international investor group, the Luxembourg holding structure offers the most compelling combination of tax efficiency, banking cleanliness, and institutional credibility — albeit at higher setup and running cost. The Delaware structure is superior for US-majority investor groups. Direct investment remains valid for smaller, simpler rounds.</w:t>
            </w:r>
          </w:p>
        </w:tc>
      </w:tr>
    </w:tbl>
    <w:p>
      <w:pPr>
        <w:spacing w:before="200" w:after="0"/>
      </w:pPr>
    </w:p>
    <w:p>
      <w:pPr>
        <w:pStyle w:val="Heading1"/>
        <w:spacing w:before="360" w:after="80"/>
      </w:pPr>
      <w:r>
        <w:rPr>
          <w:rFonts w:ascii="Arial" w:cs="Arial" w:eastAsia="Arial" w:hAnsi="Arial"/>
          <w:b/>
          <w:bCs/>
          <w:color w:val="0D2B45"/>
          <w:sz w:val="30"/>
          <w:szCs w:val="30"/>
        </w:rPr>
        <w:t xml:space="preserve">1. Structure Overview</w:t>
      </w:r>
    </w:p>
    <w:p>
      <w:pPr>
        <w:pBdr>
          <w:bottom w:val="single" w:color="2E6DA4" w:sz="6" w:space="1"/>
        </w:pBdr>
        <w:spacing w:before="0" w:after="180"/>
      </w:pPr>
    </w:p>
    <w:p>
      <w:pPr>
        <w:pStyle w:val="Heading2"/>
        <w:spacing w:before="280" w:after="60"/>
      </w:pPr>
      <w:r>
        <w:rPr>
          <w:rFonts w:ascii="Arial" w:cs="Arial" w:eastAsia="Arial" w:hAnsi="Arial"/>
          <w:b/>
          <w:bCs/>
          <w:color w:val="2E6DA4"/>
          <w:sz w:val="24"/>
          <w:szCs w:val="24"/>
        </w:rPr>
        <w:t xml:space="preserve">1a. Direct Investment</w:t>
      </w:r>
    </w:p>
    <w:p>
      <w:pPr>
        <w:spacing w:before="60" w:after="60"/>
      </w:pPr>
      <w:r>
        <w:rPr>
          <w:rFonts w:ascii="Arial" w:cs="Arial" w:eastAsia="Arial" w:hAnsi="Arial"/>
          <w:color w:val="1A1A2E"/>
          <w:sz w:val="21"/>
          <w:szCs w:val="21"/>
        </w:rPr>
        <w:t xml:space="preserve">International investors subscribe directly for new shares in the Swedish AB. The AB issues shares and amends its cap table accordingly. All investors are party to the AB's shareholder agreement (SHA).</w:t>
      </w:r>
    </w:p>
    <w:p>
      <w:pPr>
        <w:spacing w:before="80" w:after="0"/>
      </w:pPr>
    </w:p>
    <w:p>
      <w:pPr>
        <w:pStyle w:val="ListParagraph"/>
        <w:numPr>
          <w:ilvl w:val="0"/>
          <w:numId w:val="2"/>
        </w:numPr>
        <w:spacing w:before="40" w:after="40"/>
      </w:pPr>
      <w:r>
        <w:rPr>
          <w:rFonts w:ascii="Arial" w:cs="Arial" w:eastAsia="Arial" w:hAnsi="Arial"/>
          <w:color w:val="1A1A2E"/>
          <w:sz w:val="20"/>
          <w:szCs w:val="20"/>
        </w:rPr>
        <w:t xml:space="preserve">Simple structure with lowest setup cost and fastest execution.</w:t>
      </w:r>
    </w:p>
    <w:p>
      <w:pPr>
        <w:pStyle w:val="ListParagraph"/>
        <w:numPr>
          <w:ilvl w:val="0"/>
          <w:numId w:val="2"/>
        </w:numPr>
        <w:spacing w:before="40" w:after="40"/>
      </w:pPr>
      <w:r>
        <w:rPr>
          <w:rFonts w:ascii="Arial" w:cs="Arial" w:eastAsia="Arial" w:hAnsi="Arial"/>
          <w:color w:val="1A1A2E"/>
          <w:sz w:val="20"/>
          <w:szCs w:val="20"/>
        </w:rPr>
        <w:t xml:space="preserve">Each investor appears directly on the AB's cap table and Bolagsverket register.</w:t>
      </w:r>
    </w:p>
    <w:p>
      <w:pPr>
        <w:pStyle w:val="ListParagraph"/>
        <w:numPr>
          <w:ilvl w:val="0"/>
          <w:numId w:val="2"/>
        </w:numPr>
        <w:spacing w:before="40" w:after="40"/>
      </w:pPr>
      <w:r>
        <w:rPr>
          <w:rFonts w:ascii="Arial" w:cs="Arial" w:eastAsia="Arial" w:hAnsi="Arial"/>
          <w:color w:val="1A1A2E"/>
          <w:sz w:val="20"/>
          <w:szCs w:val="20"/>
        </w:rPr>
        <w:t xml:space="preserve">KYC and AML must be completed by the AB's Swedish bank for each investor individually.</w:t>
      </w:r>
    </w:p>
    <w:p>
      <w:pPr>
        <w:pStyle w:val="ListParagraph"/>
        <w:numPr>
          <w:ilvl w:val="0"/>
          <w:numId w:val="2"/>
        </w:numPr>
        <w:spacing w:before="40" w:after="40"/>
      </w:pPr>
      <w:r>
        <w:rPr>
          <w:rFonts w:ascii="Arial" w:cs="Arial" w:eastAsia="Arial" w:hAnsi="Arial"/>
          <w:color w:val="1A1A2E"/>
          <w:sz w:val="20"/>
          <w:szCs w:val="20"/>
        </w:rPr>
        <w:t xml:space="preserve">Crypto-origin funds create friction directly with the Swedish banking relationship.</w:t>
      </w:r>
    </w:p>
    <w:p>
      <w:pPr>
        <w:pStyle w:val="ListParagraph"/>
        <w:numPr>
          <w:ilvl w:val="0"/>
          <w:numId w:val="2"/>
        </w:numPr>
        <w:spacing w:before="40" w:after="40"/>
      </w:pPr>
      <w:r>
        <w:rPr>
          <w:rFonts w:ascii="Arial" w:cs="Arial" w:eastAsia="Arial" w:hAnsi="Arial"/>
          <w:color w:val="1A1A2E"/>
          <w:sz w:val="20"/>
          <w:szCs w:val="20"/>
        </w:rPr>
        <w:t xml:space="preserve">SHA negotiation involves all investors simultaneously — complex with a large international group.</w:t>
      </w:r>
    </w:p>
    <w:p>
      <w:pPr>
        <w:spacing w:before="160" w:after="0"/>
      </w:pPr>
    </w:p>
    <w:p>
      <w:pPr>
        <w:pStyle w:val="Heading2"/>
        <w:spacing w:before="280" w:after="60"/>
      </w:pPr>
      <w:r>
        <w:rPr>
          <w:rFonts w:ascii="Arial" w:cs="Arial" w:eastAsia="Arial" w:hAnsi="Arial"/>
          <w:b/>
          <w:bCs/>
          <w:color w:val="2E6DA4"/>
          <w:sz w:val="24"/>
          <w:szCs w:val="24"/>
        </w:rPr>
        <w:t xml:space="preserve">1b. Via Delaware Entity (LLC or C-Corp)</w:t>
      </w:r>
    </w:p>
    <w:p>
      <w:pPr>
        <w:spacing w:before="60" w:after="60"/>
      </w:pPr>
      <w:r>
        <w:rPr>
          <w:rFonts w:ascii="Arial" w:cs="Arial" w:eastAsia="Arial" w:hAnsi="Arial"/>
          <w:color w:val="1A1A2E"/>
          <w:sz w:val="21"/>
          <w:szCs w:val="21"/>
        </w:rPr>
        <w:t xml:space="preserve">A Delaware LLC or C-Corp is incorporated as a Special Purpose Vehicle (SPV). International investors subscribe for interests in the Delaware entity, which in turn subscribes for shares in the Swedish AB. The AB has one foreign corporate shareholder.</w:t>
      </w:r>
    </w:p>
    <w:p>
      <w:pPr>
        <w:spacing w:before="80" w:after="0"/>
      </w:pPr>
    </w:p>
    <w:p>
      <w:pPr>
        <w:pStyle w:val="ListParagraph"/>
        <w:numPr>
          <w:ilvl w:val="0"/>
          <w:numId w:val="2"/>
        </w:numPr>
        <w:spacing w:before="40" w:after="40"/>
      </w:pPr>
      <w:r>
        <w:rPr>
          <w:rFonts w:ascii="Arial" w:cs="Arial" w:eastAsia="Arial" w:hAnsi="Arial"/>
          <w:color w:val="1A1A2E"/>
          <w:sz w:val="20"/>
          <w:szCs w:val="20"/>
        </w:rPr>
        <w:t xml:space="preserve">Well-understood by US investors — Delaware law is familiar and trusted.</w:t>
      </w:r>
    </w:p>
    <w:p>
      <w:pPr>
        <w:pStyle w:val="ListParagraph"/>
        <w:numPr>
          <w:ilvl w:val="0"/>
          <w:numId w:val="2"/>
        </w:numPr>
        <w:spacing w:before="40" w:after="40"/>
      </w:pPr>
      <w:r>
        <w:rPr>
          <w:rFonts w:ascii="Arial" w:cs="Arial" w:eastAsia="Arial" w:hAnsi="Arial"/>
          <w:color w:val="1A1A2E"/>
          <w:sz w:val="20"/>
          <w:szCs w:val="20"/>
        </w:rPr>
        <w:t xml:space="preserve">AB's SHA is simplified to one counterparty (the Delaware entity).</w:t>
      </w:r>
    </w:p>
    <w:p>
      <w:pPr>
        <w:pStyle w:val="ListParagraph"/>
        <w:numPr>
          <w:ilvl w:val="0"/>
          <w:numId w:val="2"/>
        </w:numPr>
        <w:spacing w:before="40" w:after="40"/>
      </w:pPr>
      <w:r>
        <w:rPr>
          <w:rFonts w:ascii="Arial" w:cs="Arial" w:eastAsia="Arial" w:hAnsi="Arial"/>
          <w:color w:val="1A1A2E"/>
          <w:sz w:val="20"/>
          <w:szCs w:val="20"/>
        </w:rPr>
        <w:t xml:space="preserve">Crypto conversion and AML can be handled at the US entity level.</w:t>
      </w:r>
    </w:p>
    <w:p>
      <w:pPr>
        <w:pStyle w:val="ListParagraph"/>
        <w:numPr>
          <w:ilvl w:val="0"/>
          <w:numId w:val="2"/>
        </w:numPr>
        <w:spacing w:before="40" w:after="40"/>
      </w:pPr>
      <w:r>
        <w:rPr>
          <w:rFonts w:ascii="Arial" w:cs="Arial" w:eastAsia="Arial" w:hAnsi="Arial"/>
          <w:color w:val="1A1A2E"/>
          <w:sz w:val="20"/>
          <w:szCs w:val="20"/>
        </w:rPr>
        <w:t xml:space="preserve">Non-US investors risk inadvertent US tax obligations (Schedule K-1, ECI).</w:t>
      </w:r>
    </w:p>
    <w:p>
      <w:pPr>
        <w:pStyle w:val="ListParagraph"/>
        <w:numPr>
          <w:ilvl w:val="0"/>
          <w:numId w:val="2"/>
        </w:numPr>
        <w:spacing w:before="40" w:after="40"/>
      </w:pPr>
      <w:r>
        <w:rPr>
          <w:rFonts w:ascii="Arial" w:cs="Arial" w:eastAsia="Arial" w:hAnsi="Arial"/>
          <w:color w:val="1A1A2E"/>
          <w:sz w:val="20"/>
          <w:szCs w:val="20"/>
        </w:rPr>
        <w:t xml:space="preserve">Delaware LLC may not reliably access Sweden-US tax treaty benefits — uncertain treaty position for pass-through entities.</w:t>
      </w:r>
    </w:p>
    <w:p>
      <w:pPr>
        <w:pStyle w:val="ListParagraph"/>
        <w:numPr>
          <w:ilvl w:val="0"/>
          <w:numId w:val="2"/>
        </w:numPr>
        <w:spacing w:before="40" w:after="40"/>
      </w:pPr>
      <w:r>
        <w:rPr>
          <w:rFonts w:ascii="Arial" w:cs="Arial" w:eastAsia="Arial" w:hAnsi="Arial"/>
          <w:color w:val="1A1A2E"/>
          <w:sz w:val="20"/>
          <w:szCs w:val="20"/>
        </w:rPr>
        <w:t xml:space="preserve">US banking for the Delaware entity is increasingly difficult without physical US presence.</w:t>
      </w:r>
    </w:p>
    <w:p>
      <w:pPr>
        <w:spacing w:before="160" w:after="0"/>
      </w:pPr>
    </w:p>
    <w:p>
      <w:pPr>
        <w:pStyle w:val="Heading2"/>
        <w:spacing w:before="280" w:after="60"/>
      </w:pPr>
      <w:r>
        <w:rPr>
          <w:rFonts w:ascii="Arial" w:cs="Arial" w:eastAsia="Arial" w:hAnsi="Arial"/>
          <w:b/>
          <w:bCs/>
          <w:color w:val="2E6DA4"/>
          <w:sz w:val="24"/>
          <w:szCs w:val="24"/>
        </w:rPr>
        <w:t xml:space="preserve">1c. Via Luxembourg Holding Company (SOPARFI or SCSp)</w:t>
      </w:r>
    </w:p>
    <w:p>
      <w:pPr>
        <w:spacing w:before="60" w:after="60"/>
      </w:pPr>
      <w:r>
        <w:rPr>
          <w:rFonts w:ascii="Arial" w:cs="Arial" w:eastAsia="Arial" w:hAnsi="Arial"/>
          <w:color w:val="1A1A2E"/>
          <w:sz w:val="21"/>
          <w:szCs w:val="21"/>
        </w:rPr>
        <w:t xml:space="preserve">A Luxembourg SOPARFI (S.à r.l. or SA) or SCSp is established as the holding vehicle. Investors hold interests in the Luxembourg entity, which holds shares in the Swedish AB. This is the dominant European structure for cross-border investment holding.</w:t>
      </w:r>
    </w:p>
    <w:p>
      <w:pPr>
        <w:spacing w:before="80" w:after="0"/>
      </w:pPr>
    </w:p>
    <w:p>
      <w:pPr>
        <w:pStyle w:val="ListParagraph"/>
        <w:numPr>
          <w:ilvl w:val="0"/>
          <w:numId w:val="2"/>
        </w:numPr>
        <w:spacing w:before="40" w:after="40"/>
      </w:pPr>
      <w:r>
        <w:rPr>
          <w:rFonts w:ascii="Arial" w:cs="Arial" w:eastAsia="Arial" w:hAnsi="Arial"/>
          <w:color w:val="1A1A2E"/>
          <w:sz w:val="20"/>
          <w:szCs w:val="20"/>
        </w:rPr>
        <w:t xml:space="preserve">EU Parent-Subsidiary Directive eliminates Swedish withholding tax on dividends (0% at ≥10% holding).</w:t>
      </w:r>
    </w:p>
    <w:p>
      <w:pPr>
        <w:pStyle w:val="ListParagraph"/>
        <w:numPr>
          <w:ilvl w:val="0"/>
          <w:numId w:val="2"/>
        </w:numPr>
        <w:spacing w:before="40" w:after="40"/>
      </w:pPr>
      <w:r>
        <w:rPr>
          <w:rFonts w:ascii="Arial" w:cs="Arial" w:eastAsia="Arial" w:hAnsi="Arial"/>
          <w:color w:val="1A1A2E"/>
          <w:sz w:val="20"/>
          <w:szCs w:val="20"/>
        </w:rPr>
        <w:t xml:space="preserve">Luxembourg participation exemption exempts capital gains on exit from Luxembourg corporate tax.</w:t>
      </w:r>
    </w:p>
    <w:p>
      <w:pPr>
        <w:pStyle w:val="ListParagraph"/>
        <w:numPr>
          <w:ilvl w:val="0"/>
          <w:numId w:val="2"/>
        </w:numPr>
        <w:spacing w:before="40" w:after="40"/>
      </w:pPr>
      <w:r>
        <w:rPr>
          <w:rFonts w:ascii="Arial" w:cs="Arial" w:eastAsia="Arial" w:hAnsi="Arial"/>
          <w:color w:val="1A1A2E"/>
          <w:sz w:val="20"/>
          <w:szCs w:val="20"/>
        </w:rPr>
        <w:t xml:space="preserve">AB's SHA is simplified to one EU-regulated counterparty — Swedish bank is most comfortable.</w:t>
      </w:r>
    </w:p>
    <w:p>
      <w:pPr>
        <w:pStyle w:val="ListParagraph"/>
        <w:numPr>
          <w:ilvl w:val="0"/>
          <w:numId w:val="2"/>
        </w:numPr>
        <w:spacing w:before="40" w:after="40"/>
      </w:pPr>
      <w:r>
        <w:rPr>
          <w:rFonts w:ascii="Arial" w:cs="Arial" w:eastAsia="Arial" w:hAnsi="Arial"/>
          <w:color w:val="1A1A2E"/>
          <w:sz w:val="20"/>
          <w:szCs w:val="20"/>
        </w:rPr>
        <w:t xml:space="preserve">Luxembourg administrators are the most experienced in Europe at crypto-origin AML.</w:t>
      </w:r>
    </w:p>
    <w:p>
      <w:pPr>
        <w:pStyle w:val="ListParagraph"/>
        <w:numPr>
          <w:ilvl w:val="0"/>
          <w:numId w:val="2"/>
        </w:numPr>
        <w:spacing w:before="40" w:after="40"/>
      </w:pPr>
      <w:r>
        <w:rPr>
          <w:rFonts w:ascii="Arial" w:cs="Arial" w:eastAsia="Arial" w:hAnsi="Arial"/>
          <w:color w:val="1A1A2E"/>
          <w:sz w:val="20"/>
          <w:szCs w:val="20"/>
        </w:rPr>
        <w:t xml:space="preserve">Requires genuine economic substance in Luxembourg — adds ongoing cost.</w:t>
      </w:r>
    </w:p>
    <w:p>
      <w:pPr>
        <w:pStyle w:val="ListParagraph"/>
        <w:numPr>
          <w:ilvl w:val="0"/>
          <w:numId w:val="2"/>
        </w:numPr>
        <w:spacing w:before="40" w:after="40"/>
      </w:pPr>
      <w:r>
        <w:rPr>
          <w:rFonts w:ascii="Arial" w:cs="Arial" w:eastAsia="Arial" w:hAnsi="Arial"/>
          <w:color w:val="1A1A2E"/>
          <w:sz w:val="20"/>
          <w:szCs w:val="20"/>
        </w:rPr>
        <w:t xml:space="preserve">Preferred structure for European, Middle Eastern, and Asian institutional investors.</w:t>
      </w:r>
    </w:p>
    <w:p>
      <w:pPr>
        <w:spacing w:before="200" w:after="0"/>
      </w:pPr>
    </w:p>
    <w:p>
      <w:r>
        <w:br w:type="page"/>
      </w:r>
    </w:p>
    <w:p>
      <w:pPr>
        <w:pStyle w:val="Heading1"/>
        <w:spacing w:before="360" w:after="80"/>
      </w:pPr>
      <w:r>
        <w:rPr>
          <w:rFonts w:ascii="Arial" w:cs="Arial" w:eastAsia="Arial" w:hAnsi="Arial"/>
          <w:b/>
          <w:bCs/>
          <w:color w:val="0D2B45"/>
          <w:sz w:val="30"/>
          <w:szCs w:val="30"/>
        </w:rPr>
        <w:t xml:space="preserve">2. Crypto Investment Flow — How Funds Move</w:t>
      </w:r>
    </w:p>
    <w:p>
      <w:pPr>
        <w:pBdr>
          <w:bottom w:val="single" w:color="2E6DA4" w:sz="6" w:space="1"/>
        </w:pBdr>
        <w:spacing w:before="0" w:after="180"/>
      </w:pPr>
    </w:p>
    <w:p>
      <w:pPr>
        <w:pStyle w:val="Heading2"/>
        <w:spacing w:before="280" w:after="60"/>
      </w:pPr>
      <w:r>
        <w:rPr>
          <w:rFonts w:ascii="Arial" w:cs="Arial" w:eastAsia="Arial" w:hAnsi="Arial"/>
          <w:b/>
          <w:bCs/>
          <w:color w:val="2E6DA4"/>
          <w:sz w:val="24"/>
          <w:szCs w:val="24"/>
        </w:rPr>
        <w:t xml:space="preserve">2a. Recommended Flow: Direct Investment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1B3A5C" w:sz="2"/>
              <w:left w:val="single" w:color="1B3A5C" w:sz="2"/>
              <w:bottom w:val="single" w:color="1B3A5C" w:sz="2"/>
              <w:right w:val="single" w:color="1B3A5C" w:sz="2"/>
            </w:tcBorders>
            <w:shd w:fill="1B3A5C"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Investors</w:t>
            </w:r>
          </w:p>
        </w:tc>
        <w:tc>
          <w:tcPr>
            <w:tcW w:type="dxa" w:w="80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color w:val="AAAAAA"/>
                <w:sz w:val="22"/>
                <w:szCs w:val="22"/>
              </w:rPr>
              <w:t xml:space="preserve">→</w:t>
            </w:r>
          </w:p>
        </w:tc>
        <w:tc>
          <w:tcPr>
            <w:tcW w:type="dxa" w:w="57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center"/>
          </w:tcPr>
          <w:p>
            <w:r>
              <w:rPr>
                <w:rFonts w:ascii="Arial" w:cs="Arial" w:eastAsia="Arial" w:hAnsi="Arial"/>
                <w:i/>
                <w:iCs/>
                <w:color w:val="555577"/>
                <w:sz w:val="19"/>
                <w:szCs w:val="19"/>
              </w:rPr>
              <w:t xml:space="preserve">Convert BTC/ETH/Stablecoins to fiat in home jurisdiction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1B3A5C" w:sz="2"/>
              <w:left w:val="single" w:color="1B3A5C" w:sz="2"/>
              <w:bottom w:val="single" w:color="1B3A5C" w:sz="2"/>
              <w:right w:val="single" w:color="1B3A5C" w:sz="2"/>
            </w:tcBorders>
            <w:shd w:fill="1B3A5C"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Fiat (SEK/EUR)</w:t>
            </w:r>
          </w:p>
        </w:tc>
        <w:tc>
          <w:tcPr>
            <w:tcW w:type="dxa" w:w="80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color w:val="AAAAAA"/>
                <w:sz w:val="22"/>
                <w:szCs w:val="22"/>
              </w:rPr>
              <w:t xml:space="preserve">→</w:t>
            </w:r>
          </w:p>
        </w:tc>
        <w:tc>
          <w:tcPr>
            <w:tcW w:type="dxa" w:w="57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center"/>
          </w:tcPr>
          <w:p>
            <w:r>
              <w:rPr>
                <w:rFonts w:ascii="Arial" w:cs="Arial" w:eastAsia="Arial" w:hAnsi="Arial"/>
                <w:i/>
                <w:iCs/>
                <w:color w:val="555577"/>
                <w:sz w:val="19"/>
                <w:szCs w:val="19"/>
              </w:rPr>
              <w:t xml:space="preserve">Wire to Swedish AB corporate bank account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1B3A5C" w:sz="2"/>
              <w:left w:val="single" w:color="1B3A5C" w:sz="2"/>
              <w:bottom w:val="single" w:color="1B3A5C" w:sz="2"/>
              <w:right w:val="single" w:color="1B3A5C" w:sz="2"/>
            </w:tcBorders>
            <w:shd w:fill="1B3A5C"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Swedish AB</w:t>
            </w:r>
          </w:p>
        </w:tc>
        <w:tc>
          <w:tcPr>
            <w:tcW w:type="dxa" w:w="80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color w:val="AAAAAA"/>
                <w:sz w:val="22"/>
                <w:szCs w:val="22"/>
              </w:rPr>
              <w:t xml:space="preserve">→</w:t>
            </w:r>
          </w:p>
        </w:tc>
        <w:tc>
          <w:tcPr>
            <w:tcW w:type="dxa" w:w="57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center"/>
          </w:tcPr>
          <w:p>
            <w:r>
              <w:rPr>
                <w:rFonts w:ascii="Arial" w:cs="Arial" w:eastAsia="Arial" w:hAnsi="Arial"/>
                <w:i/>
                <w:iCs/>
                <w:color w:val="555577"/>
                <w:sz w:val="19"/>
                <w:szCs w:val="19"/>
              </w:rPr>
              <w:t xml:space="preserve">Issues new shares — registers with Bolagsverket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DC3545" w:sz="16"/>
              <w:bottom w:val="single" w:color="DDDDDD" w:sz="1"/>
              <w:right w:val="single" w:color="DDDDDD" w:sz="1"/>
            </w:tcBorders>
            <w:shd w:fill="F8D7DA" w:val="clear"/>
            <w:tcMar>
              <w:top w:type="dxa" w:w="120"/>
              <w:left w:type="dxa" w:w="200"/>
              <w:bottom w:type="dxa" w:w="120"/>
              <w:right w:type="dxa" w:w="160"/>
            </w:tcMar>
          </w:tcPr>
          <w:p>
            <w:pPr>
              <w:spacing w:before="0" w:after="40"/>
            </w:pPr>
            <w:r>
              <w:rPr>
                <w:rFonts w:ascii="Arial" w:cs="Arial" w:eastAsia="Arial" w:hAnsi="Arial"/>
                <w:b/>
                <w:bCs/>
                <w:color w:val="1B3A5C"/>
                <w:sz w:val="20"/>
                <w:szCs w:val="20"/>
              </w:rPr>
              <w:t xml:space="preserve">Key Risk — Direct</w:t>
            </w:r>
          </w:p>
          <w:p>
            <w:pPr>
              <w:spacing w:before="0" w:after="0"/>
            </w:pPr>
            <w:r>
              <w:rPr>
                <w:rFonts w:ascii="Arial" w:cs="Arial" w:eastAsia="Arial" w:hAnsi="Arial"/>
                <w:color w:val="1A1A2E"/>
                <w:sz w:val="19"/>
                <w:szCs w:val="19"/>
              </w:rPr>
              <w:t xml:space="preserve">Swedish bank must KYC crypto origins for each investor. Blockchain analytics required per wallet. Bank pre-approval essential before any documents are signed. One tainted wallet can freeze the entire process.</w:t>
            </w:r>
          </w:p>
        </w:tc>
      </w:tr>
    </w:tbl>
    <w:p>
      <w:pPr>
        <w:spacing w:before="200" w:after="0"/>
      </w:pPr>
    </w:p>
    <w:p>
      <w:pPr>
        <w:pStyle w:val="Heading2"/>
        <w:spacing w:before="280" w:after="60"/>
      </w:pPr>
      <w:r>
        <w:rPr>
          <w:rFonts w:ascii="Arial" w:cs="Arial" w:eastAsia="Arial" w:hAnsi="Arial"/>
          <w:b/>
          <w:bCs/>
          <w:color w:val="2E6DA4"/>
          <w:sz w:val="24"/>
          <w:szCs w:val="24"/>
        </w:rPr>
        <w:t xml:space="preserve">2b. Recommended Flow: Via Delaware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7B3F00" w:sz="2"/>
              <w:left w:val="single" w:color="7B3F00" w:sz="2"/>
              <w:bottom w:val="single" w:color="7B3F00" w:sz="2"/>
              <w:right w:val="single" w:color="7B3F00" w:sz="2"/>
            </w:tcBorders>
            <w:shd w:fill="7B3F00"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Investors</w:t>
            </w:r>
          </w:p>
        </w:tc>
        <w:tc>
          <w:tcPr>
            <w:tcW w:type="dxa" w:w="80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color w:val="AAAAAA"/>
                <w:sz w:val="22"/>
                <w:szCs w:val="22"/>
              </w:rPr>
              <w:t xml:space="preserve">→</w:t>
            </w:r>
          </w:p>
        </w:tc>
        <w:tc>
          <w:tcPr>
            <w:tcW w:type="dxa" w:w="57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center"/>
          </w:tcPr>
          <w:p>
            <w:r>
              <w:rPr>
                <w:rFonts w:ascii="Arial" w:cs="Arial" w:eastAsia="Arial" w:hAnsi="Arial"/>
                <w:i/>
                <w:iCs/>
                <w:color w:val="555577"/>
                <w:sz w:val="19"/>
                <w:szCs w:val="19"/>
              </w:rPr>
              <w:t xml:space="preserve">Convert crypto to USD in home jurisdiction (or send to Delaware)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7B3F00" w:sz="2"/>
              <w:left w:val="single" w:color="7B3F00" w:sz="2"/>
              <w:bottom w:val="single" w:color="7B3F00" w:sz="2"/>
              <w:right w:val="single" w:color="7B3F00" w:sz="2"/>
            </w:tcBorders>
            <w:shd w:fill="7B3F00"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Delaware Entity</w:t>
            </w:r>
          </w:p>
        </w:tc>
        <w:tc>
          <w:tcPr>
            <w:tcW w:type="dxa" w:w="80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color w:val="AAAAAA"/>
                <w:sz w:val="22"/>
                <w:szCs w:val="22"/>
              </w:rPr>
              <w:t xml:space="preserve">→</w:t>
            </w:r>
          </w:p>
        </w:tc>
        <w:tc>
          <w:tcPr>
            <w:tcW w:type="dxa" w:w="57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center"/>
          </w:tcPr>
          <w:p>
            <w:r>
              <w:rPr>
                <w:rFonts w:ascii="Arial" w:cs="Arial" w:eastAsia="Arial" w:hAnsi="Arial"/>
                <w:i/>
                <w:iCs/>
                <w:color w:val="555577"/>
                <w:sz w:val="19"/>
                <w:szCs w:val="19"/>
              </w:rPr>
              <w:t xml:space="preserve">Aggregates USD, completes AML at US entity level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7B3F00" w:sz="2"/>
              <w:left w:val="single" w:color="7B3F00" w:sz="2"/>
              <w:bottom w:val="single" w:color="7B3F00" w:sz="2"/>
              <w:right w:val="single" w:color="7B3F00" w:sz="2"/>
            </w:tcBorders>
            <w:shd w:fill="7B3F00"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USD Wire</w:t>
            </w:r>
          </w:p>
        </w:tc>
        <w:tc>
          <w:tcPr>
            <w:tcW w:type="dxa" w:w="80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color w:val="AAAAAA"/>
                <w:sz w:val="22"/>
                <w:szCs w:val="22"/>
              </w:rPr>
              <w:t xml:space="preserve">→</w:t>
            </w:r>
          </w:p>
        </w:tc>
        <w:tc>
          <w:tcPr>
            <w:tcW w:type="dxa" w:w="57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center"/>
          </w:tcPr>
          <w:p>
            <w:r>
              <w:rPr>
                <w:rFonts w:ascii="Arial" w:cs="Arial" w:eastAsia="Arial" w:hAnsi="Arial"/>
                <w:i/>
                <w:iCs/>
                <w:color w:val="555577"/>
                <w:sz w:val="19"/>
                <w:szCs w:val="19"/>
              </w:rPr>
              <w:t xml:space="preserve">Delaware entity wires USD/EUR to Swedish AB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7B3F00" w:sz="2"/>
              <w:left w:val="single" w:color="7B3F00" w:sz="2"/>
              <w:bottom w:val="single" w:color="7B3F00" w:sz="2"/>
              <w:right w:val="single" w:color="7B3F00" w:sz="2"/>
            </w:tcBorders>
            <w:shd w:fill="7B3F00"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Swedish AB</w:t>
            </w:r>
          </w:p>
        </w:tc>
        <w:tc>
          <w:tcPr>
            <w:tcW w:type="dxa" w:w="80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color w:val="AAAAAA"/>
                <w:sz w:val="22"/>
                <w:szCs w:val="22"/>
              </w:rPr>
              <w:t xml:space="preserve">→</w:t>
            </w:r>
          </w:p>
        </w:tc>
        <w:tc>
          <w:tcPr>
            <w:tcW w:type="dxa" w:w="57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center"/>
          </w:tcPr>
          <w:p>
            <w:r>
              <w:rPr>
                <w:rFonts w:ascii="Arial" w:cs="Arial" w:eastAsia="Arial" w:hAnsi="Arial"/>
                <w:i/>
                <w:iCs/>
                <w:color w:val="555577"/>
                <w:sz w:val="19"/>
                <w:szCs w:val="19"/>
              </w:rPr>
              <w:t xml:space="preserve">Receives clean wire from US entity — issues shares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D4A017" w:sz="16"/>
              <w:bottom w:val="single" w:color="DDDDDD" w:sz="1"/>
              <w:right w:val="single" w:color="DDDDDD" w:sz="1"/>
            </w:tcBorders>
            <w:shd w:fill="FFF3CD" w:val="clear"/>
            <w:tcMar>
              <w:top w:type="dxa" w:w="120"/>
              <w:left w:type="dxa" w:w="200"/>
              <w:bottom w:type="dxa" w:w="120"/>
              <w:right w:type="dxa" w:w="160"/>
            </w:tcMar>
          </w:tcPr>
          <w:p>
            <w:pPr>
              <w:spacing w:before="0" w:after="40"/>
            </w:pPr>
            <w:r>
              <w:rPr>
                <w:rFonts w:ascii="Arial" w:cs="Arial" w:eastAsia="Arial" w:hAnsi="Arial"/>
                <w:b/>
                <w:bCs/>
                <w:color w:val="1B3A5C"/>
                <w:sz w:val="20"/>
                <w:szCs w:val="20"/>
              </w:rPr>
              <w:t xml:space="preserve">Key Consideration — Delaware</w:t>
            </w:r>
          </w:p>
          <w:p>
            <w:pPr>
              <w:spacing w:before="0" w:after="0"/>
            </w:pPr>
            <w:r>
              <w:rPr>
                <w:rFonts w:ascii="Arial" w:cs="Arial" w:eastAsia="Arial" w:hAnsi="Arial"/>
                <w:color w:val="1A1A2E"/>
                <w:sz w:val="19"/>
                <w:szCs w:val="19"/>
              </w:rPr>
              <w:t xml:space="preserve">US banking for the Delaware entity requires a US address and is harder than expected post-SVB/Silvergate. Options: Mercury, Relay, Coinbase Institutional. The Swedish bank sees a US corporate wire — cleaner but not as clean as an EU entity.</w:t>
            </w:r>
          </w:p>
        </w:tc>
      </w:tr>
    </w:tbl>
    <w:p>
      <w:pPr>
        <w:spacing w:before="200" w:after="0"/>
      </w:pPr>
    </w:p>
    <w:p>
      <w:pPr>
        <w:pStyle w:val="Heading2"/>
        <w:spacing w:before="280" w:after="60"/>
      </w:pPr>
      <w:r>
        <w:rPr>
          <w:rFonts w:ascii="Arial" w:cs="Arial" w:eastAsia="Arial" w:hAnsi="Arial"/>
          <w:b/>
          <w:bCs/>
          <w:color w:val="2E6DA4"/>
          <w:sz w:val="24"/>
          <w:szCs w:val="24"/>
        </w:rPr>
        <w:t xml:space="preserve">2c. Recommended Flow: Via Luxembourg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1A6B3C" w:sz="2"/>
              <w:left w:val="single" w:color="1A6B3C" w:sz="2"/>
              <w:bottom w:val="single" w:color="1A6B3C" w:sz="2"/>
              <w:right w:val="single" w:color="1A6B3C" w:sz="2"/>
            </w:tcBorders>
            <w:shd w:fill="1A6B3C"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Investors</w:t>
            </w:r>
          </w:p>
        </w:tc>
        <w:tc>
          <w:tcPr>
            <w:tcW w:type="dxa" w:w="80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color w:val="AAAAAA"/>
                <w:sz w:val="22"/>
                <w:szCs w:val="22"/>
              </w:rPr>
              <w:t xml:space="preserve">→</w:t>
            </w:r>
          </w:p>
        </w:tc>
        <w:tc>
          <w:tcPr>
            <w:tcW w:type="dxa" w:w="57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center"/>
          </w:tcPr>
          <w:p>
            <w:r>
              <w:rPr>
                <w:rFonts w:ascii="Arial" w:cs="Arial" w:eastAsia="Arial" w:hAnsi="Arial"/>
                <w:i/>
                <w:iCs/>
                <w:color w:val="555577"/>
                <w:sz w:val="19"/>
                <w:szCs w:val="19"/>
              </w:rPr>
              <w:t xml:space="preserve">Convert crypto to EUR in home jurisdiction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1A6B3C" w:sz="2"/>
              <w:left w:val="single" w:color="1A6B3C" w:sz="2"/>
              <w:bottom w:val="single" w:color="1A6B3C" w:sz="2"/>
              <w:right w:val="single" w:color="1A6B3C" w:sz="2"/>
            </w:tcBorders>
            <w:shd w:fill="1A6B3C"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Luxembourg Entity</w:t>
            </w:r>
          </w:p>
        </w:tc>
        <w:tc>
          <w:tcPr>
            <w:tcW w:type="dxa" w:w="80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color w:val="AAAAAA"/>
                <w:sz w:val="22"/>
                <w:szCs w:val="22"/>
              </w:rPr>
              <w:t xml:space="preserve">→</w:t>
            </w:r>
          </w:p>
        </w:tc>
        <w:tc>
          <w:tcPr>
            <w:tcW w:type="dxa" w:w="57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center"/>
          </w:tcPr>
          <w:p>
            <w:r>
              <w:rPr>
                <w:rFonts w:ascii="Arial" w:cs="Arial" w:eastAsia="Arial" w:hAnsi="Arial"/>
                <w:i/>
                <w:iCs/>
                <w:color w:val="555577"/>
                <w:sz w:val="19"/>
                <w:szCs w:val="19"/>
              </w:rPr>
              <w:t xml:space="preserve">Receives EUR — Luxembourg admin handles AML, blockchain analytics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1A6B3C" w:sz="2"/>
              <w:left w:val="single" w:color="1A6B3C" w:sz="2"/>
              <w:bottom w:val="single" w:color="1A6B3C" w:sz="2"/>
              <w:right w:val="single" w:color="1A6B3C" w:sz="2"/>
            </w:tcBorders>
            <w:shd w:fill="1A6B3C"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EUR Wire</w:t>
            </w:r>
          </w:p>
        </w:tc>
        <w:tc>
          <w:tcPr>
            <w:tcW w:type="dxa" w:w="80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color w:val="AAAAAA"/>
                <w:sz w:val="22"/>
                <w:szCs w:val="22"/>
              </w:rPr>
              <w:t xml:space="preserve">→</w:t>
            </w:r>
          </w:p>
        </w:tc>
        <w:tc>
          <w:tcPr>
            <w:tcW w:type="dxa" w:w="57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center"/>
          </w:tcPr>
          <w:p>
            <w:r>
              <w:rPr>
                <w:rFonts w:ascii="Arial" w:cs="Arial" w:eastAsia="Arial" w:hAnsi="Arial"/>
                <w:i/>
                <w:iCs/>
                <w:color w:val="555577"/>
                <w:sz w:val="19"/>
                <w:szCs w:val="19"/>
              </w:rPr>
              <w:t xml:space="preserve">Luxembourg entity subscribes for AB shares — wires EUR/SEK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1A6B3C" w:sz="2"/>
              <w:left w:val="single" w:color="1A6B3C" w:sz="2"/>
              <w:bottom w:val="single" w:color="1A6B3C" w:sz="2"/>
              <w:right w:val="single" w:color="1A6B3C" w:sz="2"/>
            </w:tcBorders>
            <w:shd w:fill="1A6B3C"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Swedish AB</w:t>
            </w:r>
          </w:p>
        </w:tc>
        <w:tc>
          <w:tcPr>
            <w:tcW w:type="dxa" w:w="80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color w:val="AAAAAA"/>
                <w:sz w:val="22"/>
                <w:szCs w:val="22"/>
              </w:rPr>
              <w:t xml:space="preserve">→</w:t>
            </w:r>
          </w:p>
        </w:tc>
        <w:tc>
          <w:tcPr>
            <w:tcW w:type="dxa" w:w="57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center"/>
          </w:tcPr>
          <w:p>
            <w:r>
              <w:rPr>
                <w:rFonts w:ascii="Arial" w:cs="Arial" w:eastAsia="Arial" w:hAnsi="Arial"/>
                <w:i/>
                <w:iCs/>
                <w:color w:val="555577"/>
                <w:sz w:val="19"/>
                <w:szCs w:val="19"/>
              </w:rPr>
              <w:t xml:space="preserve">Receives clean EUR wire from EU-regulated entity — issues shares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28A745" w:sz="16"/>
              <w:bottom w:val="single" w:color="DDDDDD" w:sz="1"/>
              <w:right w:val="single" w:color="DDDDDD" w:sz="1"/>
            </w:tcBorders>
            <w:shd w:fill="D4EDDA" w:val="clear"/>
            <w:tcMar>
              <w:top w:type="dxa" w:w="120"/>
              <w:left w:type="dxa" w:w="200"/>
              <w:bottom w:type="dxa" w:w="120"/>
              <w:right w:type="dxa" w:w="160"/>
            </w:tcMar>
          </w:tcPr>
          <w:p>
            <w:pPr>
              <w:spacing w:before="0" w:after="40"/>
            </w:pPr>
            <w:r>
              <w:rPr>
                <w:rFonts w:ascii="Arial" w:cs="Arial" w:eastAsia="Arial" w:hAnsi="Arial"/>
                <w:b/>
                <w:bCs/>
                <w:color w:val="1B3A5C"/>
                <w:sz w:val="20"/>
                <w:szCs w:val="20"/>
              </w:rPr>
              <w:t xml:space="preserve">Best Outcome — Luxembourg</w:t>
            </w:r>
          </w:p>
          <w:p>
            <w:pPr>
              <w:spacing w:before="0" w:after="0"/>
            </w:pPr>
            <w:r>
              <w:rPr>
                <w:rFonts w:ascii="Arial" w:cs="Arial" w:eastAsia="Arial" w:hAnsi="Arial"/>
                <w:color w:val="1A1A2E"/>
                <w:sz w:val="19"/>
                <w:szCs w:val="19"/>
              </w:rPr>
              <w:t xml:space="preserve">Swedish bank receives a wire from an EU-regulated entity with a Luxembourg IBAN. This is the most familiar and trusted inbound payment type for Swedish corporate banks. Luxembourg administrators have established crypto AML procedures that Swedish banks recognise and accept.</w:t>
            </w:r>
          </w:p>
        </w:tc>
      </w:tr>
    </w:tbl>
    <w:p>
      <w:pPr>
        <w:spacing w:before="200" w:after="0"/>
      </w:pPr>
    </w:p>
    <w:p>
      <w:r>
        <w:br w:type="page"/>
      </w:r>
    </w:p>
    <w:p>
      <w:pPr>
        <w:pStyle w:val="Heading1"/>
        <w:spacing w:before="360" w:after="80"/>
      </w:pPr>
      <w:r>
        <w:rPr>
          <w:rFonts w:ascii="Arial" w:cs="Arial" w:eastAsia="Arial" w:hAnsi="Arial"/>
          <w:b/>
          <w:bCs/>
          <w:color w:val="0D2B45"/>
          <w:sz w:val="30"/>
          <w:szCs w:val="30"/>
        </w:rPr>
        <w:t xml:space="preserve">3. Full Factor-by-Factor Comparison</w:t>
      </w:r>
    </w:p>
    <w:p>
      <w:pPr>
        <w:pBdr>
          <w:bottom w:val="single" w:color="2E6DA4" w:sz="6" w:space="1"/>
        </w:pBdr>
        <w:spacing w:before="0" w:after="180"/>
      </w:pPr>
    </w:p>
    <w:p>
      <w:pPr>
        <w:spacing w:before="60" w:after="60"/>
      </w:pPr>
      <w:r>
        <w:rPr>
          <w:rFonts w:ascii="Arial" w:cs="Arial" w:eastAsia="Arial" w:hAnsi="Arial"/>
          <w:color w:val="555577"/>
          <w:sz w:val="21"/>
          <w:szCs w:val="21"/>
        </w:rPr>
        <w:t xml:space="preserve">The table below covers all material factors across setup, KYC/AML, tax, crypto flow, governance, investor profile, exit, and regulatory considerations.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360"/>
      </w:tblGrid>
      <w:tr>
        <w:trPr>
          <w:tblHeader/>
        </w:trPr>
        <w:tc>
          <w:tcPr>
            <w:tcW w:type="dxa" w:w="3200"/>
            <w:tcBorders>
              <w:top w:val="single" w:color="0D2B45" w:sz="2"/>
              <w:left w:val="single" w:color="0D2B45" w:sz="2"/>
              <w:bottom w:val="single" w:color="0D2B45" w:sz="2"/>
              <w:right w:val="single" w:color="0D2B45" w:sz="2"/>
            </w:tcBorders>
            <w:shd w:fill="0D2B45" w:val="clear"/>
            <w:tcMar>
              <w:top w:type="dxa" w:w="100"/>
              <w:left w:type="dxa" w:w="160"/>
              <w:bottom w:type="dxa" w:w="100"/>
              <w:right w:type="dxa" w:w="80"/>
            </w:tcMar>
          </w:tcPr>
          <w:p>
            <w:r>
              <w:rPr>
                <w:rFonts w:ascii="Arial" w:cs="Arial" w:eastAsia="Arial" w:hAnsi="Arial"/>
                <w:b/>
                <w:bCs/>
                <w:color w:val="FFFFFF"/>
                <w:sz w:val="22"/>
                <w:szCs w:val="22"/>
              </w:rPr>
              <w:t xml:space="preserve">Factor</w:t>
            </w:r>
          </w:p>
        </w:tc>
        <w:tc>
          <w:tcPr>
            <w:tcW w:type="dxa" w:w="190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 Investment</w:t>
            </w:r>
          </w:p>
        </w:tc>
        <w:tc>
          <w:tcPr>
            <w:tcW w:type="dxa" w:w="1900"/>
            <w:tcBorders>
              <w:top w:val="single" w:color="7B3F00" w:sz="2"/>
              <w:left w:val="single" w:color="7B3F00" w:sz="2"/>
              <w:bottom w:val="single" w:color="7B3F00" w:sz="2"/>
              <w:right w:val="single" w:color="7B3F00" w:sz="2"/>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Via Delaware</w:t>
            </w:r>
          </w:p>
        </w:tc>
        <w:tc>
          <w:tcPr>
            <w:tcW w:type="dxa" w:w="2360"/>
            <w:tcBorders>
              <w:top w:val="single" w:color="1A6B3C" w:sz="2"/>
              <w:left w:val="single" w:color="1A6B3C" w:sz="2"/>
              <w:bottom w:val="single" w:color="1A6B3C" w:sz="2"/>
              <w:right w:val="single" w:color="1A6B3C" w:sz="2"/>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Via Luxembourg</w:t>
            </w:r>
          </w:p>
        </w:tc>
      </w:tr>
      <w:tr>
        <w:tc>
          <w:tcPr>
            <w:tcW w:type="dxa" w:w="9360"/>
            <w:gridSpan w:val="4"/>
            <w:tcBorders>
              <w:top w:val="single" w:color="1B3A5C" w:sz="2"/>
              <w:left w:val="single" w:color="1B3A5C" w:sz="2"/>
              <w:bottom w:val="single" w:color="1B3A5C" w:sz="2"/>
              <w:right w:val="single" w:color="1B3A5C" w:sz="2"/>
            </w:tcBorders>
            <w:shd w:fill="1B3A5C" w:val="clear"/>
            <w:tcMar>
              <w:top w:type="dxa" w:w="80"/>
              <w:left w:type="dxa" w:w="160"/>
              <w:bottom w:type="dxa" w:w="80"/>
              <w:right w:type="dxa" w:w="80"/>
            </w:tcMar>
          </w:tcPr>
          <w:p>
            <w:r>
              <w:rPr>
                <w:rFonts w:ascii="Arial" w:cs="Arial" w:eastAsia="Arial" w:hAnsi="Arial"/>
                <w:b/>
                <w:bCs/>
                <w:color w:val="FFFFFF"/>
                <w:sz w:val="21"/>
                <w:szCs w:val="21"/>
              </w:rPr>
              <w:t xml:space="preserve">A. SETUP &amp; STRUCTURE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Entity setup time</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None (immediate)</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1–3 days</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2–4 weeks</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Setup cost</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Minimal</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~€1,500–3,000</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~€15,000–30,000</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Annual running cost</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Minimal</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~€5,000–10,000</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~€36,000–98,000</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Minimum capital required</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SEK 25,000 (AB)</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None (LLC)</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€12,000 (SOPARFI)</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Notarial deed required</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Yes (AB)</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No</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Yes (SOPARFI)</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Legal documents required</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SHA + subscription</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2× SHAs + OpAgreement</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2× SHAs + LPA/OpAgreement</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Registered agent required</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No</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Yes (mandatory)</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Yes (mandatory)</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Physical substance required</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No</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Minimal</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Yes — increasing scrutiny</w:t>
            </w:r>
          </w:p>
        </w:tc>
      </w:tr>
      <w:tr>
        <w:tc>
          <w:tcPr>
            <w:tcW w:type="dxa" w:w="9360"/>
            <w:gridSpan w:val="4"/>
            <w:tcBorders>
              <w:top w:val="single" w:color="1B3A5C" w:sz="2"/>
              <w:left w:val="single" w:color="1B3A5C" w:sz="2"/>
              <w:bottom w:val="single" w:color="1B3A5C" w:sz="2"/>
              <w:right w:val="single" w:color="1B3A5C" w:sz="2"/>
            </w:tcBorders>
            <w:shd w:fill="1B3A5C" w:val="clear"/>
            <w:tcMar>
              <w:top w:type="dxa" w:w="80"/>
              <w:left w:type="dxa" w:w="160"/>
              <w:bottom w:type="dxa" w:w="80"/>
              <w:right w:type="dxa" w:w="80"/>
            </w:tcMar>
          </w:tcPr>
          <w:p>
            <w:r>
              <w:rPr>
                <w:rFonts w:ascii="Arial" w:cs="Arial" w:eastAsia="Arial" w:hAnsi="Arial"/>
                <w:b/>
                <w:bCs/>
                <w:color w:val="FFFFFF"/>
                <w:sz w:val="21"/>
                <w:szCs w:val="21"/>
              </w:rPr>
              <w:t xml:space="preserve">B. KYC / AML</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KYC burden on Swedish AB</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High — each investor</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Moderate — one entity</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Low — one EU entity</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KYC burden overall</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Medium</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Same or higher</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Same — shifted to Lux level</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Crypto AML experience of service providers</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Swedish bank (limited)</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US providers (moderate)</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Luxembourg admins (high)</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UBO transparency / register</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Per Swedish bank request</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FinCEN BOI filing (US)</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EU UBO register (public)</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Perceived risk by Swedish bank</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Higher</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Moderate</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Lowest (EU regulated entity)</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Travel Rule (crypto) compliance</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Handled by investors</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Handled at Delaware level</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Handled by Lux admin</w:t>
            </w:r>
          </w:p>
        </w:tc>
      </w:tr>
      <w:tr>
        <w:tc>
          <w:tcPr>
            <w:tcW w:type="dxa" w:w="9360"/>
            <w:gridSpan w:val="4"/>
            <w:tcBorders>
              <w:top w:val="single" w:color="1B3A5C" w:sz="2"/>
              <w:left w:val="single" w:color="1B3A5C" w:sz="2"/>
              <w:bottom w:val="single" w:color="1B3A5C" w:sz="2"/>
              <w:right w:val="single" w:color="1B3A5C" w:sz="2"/>
            </w:tcBorders>
            <w:shd w:fill="1B3A5C" w:val="clear"/>
            <w:tcMar>
              <w:top w:type="dxa" w:w="80"/>
              <w:left w:type="dxa" w:w="160"/>
              <w:bottom w:type="dxa" w:w="80"/>
              <w:right w:type="dxa" w:w="80"/>
            </w:tcMar>
          </w:tcPr>
          <w:p>
            <w:r>
              <w:rPr>
                <w:rFonts w:ascii="Arial" w:cs="Arial" w:eastAsia="Arial" w:hAnsi="Arial"/>
                <w:b/>
                <w:bCs/>
                <w:color w:val="FFFFFF"/>
                <w:sz w:val="21"/>
                <w:szCs w:val="21"/>
              </w:rPr>
              <w:t xml:space="preserve">C. TAX</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Swedish withholding tax (dividends)</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0–30% (per treaty)</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~15% (treaty uncertain for LLC)</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0% (Parent-Sub Directive, ≥10% hold)</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Participation exemption on exit</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N/A (per investor)</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Partial — US tax risk</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Yes — capital gains exempt</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Tax transparency</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Direct per investor</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Pass-through (LLC)</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Opaque (SOPARFI) or transparent (SCSp)</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Non-US investor US tax exposure</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None</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Possible — K-1, ECI risk</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None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CFC rules risk (Swedish investors)</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N/A</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Possible</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Low if structured correctly</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VAT / local taxes</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Swedish VAT rules</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US state taxes minimal</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Luxembourg VAT (holding exempt)</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Substance over form risk</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Low</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Moderate</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Low if substance satisfied</w:t>
            </w:r>
          </w:p>
        </w:tc>
      </w:tr>
      <w:tr>
        <w:tc>
          <w:tcPr>
            <w:tcW w:type="dxa" w:w="9360"/>
            <w:gridSpan w:val="4"/>
            <w:tcBorders>
              <w:top w:val="single" w:color="1B3A5C" w:sz="2"/>
              <w:left w:val="single" w:color="1B3A5C" w:sz="2"/>
              <w:bottom w:val="single" w:color="1B3A5C" w:sz="2"/>
              <w:right w:val="single" w:color="1B3A5C" w:sz="2"/>
            </w:tcBorders>
            <w:shd w:fill="1B3A5C" w:val="clear"/>
            <w:tcMar>
              <w:top w:type="dxa" w:w="80"/>
              <w:left w:type="dxa" w:w="160"/>
              <w:bottom w:type="dxa" w:w="80"/>
              <w:right w:type="dxa" w:w="80"/>
            </w:tcMar>
          </w:tcPr>
          <w:p>
            <w:r>
              <w:rPr>
                <w:rFonts w:ascii="Arial" w:cs="Arial" w:eastAsia="Arial" w:hAnsi="Arial"/>
                <w:b/>
                <w:bCs/>
                <w:color w:val="FFFFFF"/>
                <w:sz w:val="21"/>
                <w:szCs w:val="21"/>
              </w:rPr>
              <w:t xml:space="preserve">D. CRYPTO INVESTMENT FLOW</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Recommended conversion point</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Investor jurisdiction</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Investor or Delaware level</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Investor or Luxembourg level</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Banking for conversion</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Swedish bank (difficult)</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US bank/EMI (moderate)</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Lux bank/EMI (most experienced)</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Crypto-friendly institutions available</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Limited (Swedish banks)</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Moderate (Mercury, Relay)</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Good (BIL, ING Lux, EU EMIs)</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Clean fiat receipt by Swedish AB</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Moderate — bank scrutiny</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Good — US wire</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Best — EU regulated wire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VASP registration risk</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Low (AB not VASP)</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Low (if converting only)</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Low (if converting only)</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Blockchain analytics requirement</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Yes — per investor</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Yes — at Delaware level</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Yes — at Luxembourg level</w:t>
            </w:r>
          </w:p>
        </w:tc>
      </w:tr>
      <w:tr>
        <w:tc>
          <w:tcPr>
            <w:tcW w:type="dxa" w:w="9360"/>
            <w:gridSpan w:val="4"/>
            <w:tcBorders>
              <w:top w:val="single" w:color="1B3A5C" w:sz="2"/>
              <w:left w:val="single" w:color="1B3A5C" w:sz="2"/>
              <w:bottom w:val="single" w:color="1B3A5C" w:sz="2"/>
              <w:right w:val="single" w:color="1B3A5C" w:sz="2"/>
            </w:tcBorders>
            <w:shd w:fill="1B3A5C" w:val="clear"/>
            <w:tcMar>
              <w:top w:type="dxa" w:w="80"/>
              <w:left w:type="dxa" w:w="160"/>
              <w:bottom w:type="dxa" w:w="80"/>
              <w:right w:type="dxa" w:w="80"/>
            </w:tcMar>
          </w:tcPr>
          <w:p>
            <w:r>
              <w:rPr>
                <w:rFonts w:ascii="Arial" w:cs="Arial" w:eastAsia="Arial" w:hAnsi="Arial"/>
                <w:b/>
                <w:bCs/>
                <w:color w:val="FFFFFF"/>
                <w:sz w:val="21"/>
                <w:szCs w:val="21"/>
              </w:rPr>
              <w:t xml:space="preserve">E. GOVERNANCE &amp; INVESTOR RIGHTS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AB SHA complexity</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High — all investors party</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Simple — one counterparty</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Simple — one counterparty</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Investor rights document</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Direct SHA</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Delaware OpAgreement + AB SHA</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Lux SHA/LPA + AB SHA</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Board seat mechanics</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Complex (multi-investor)</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Clean (Delaware entity seats)</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Clean (Luxembourg entity seats)</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Anti-dilution / pro-rata rights</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In AB SHA</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In OpAgreement (mirrored)</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In Lux agreement (mirrored)</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Dispute resolution jurisdiction</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Swedish law</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Delaware law (investors)</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Luxembourg law (investors)</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Drag-along / tag-along</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AB SHA</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Two-layer (must mirror)</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Two-layer (must mirror)</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Founder vesting enforcement</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Swedish law</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Delaware + Swedish</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Luxembourg + Swedish</w:t>
            </w:r>
          </w:p>
        </w:tc>
      </w:tr>
      <w:tr>
        <w:tc>
          <w:tcPr>
            <w:tcW w:type="dxa" w:w="9360"/>
            <w:gridSpan w:val="4"/>
            <w:tcBorders>
              <w:top w:val="single" w:color="1B3A5C" w:sz="2"/>
              <w:left w:val="single" w:color="1B3A5C" w:sz="2"/>
              <w:bottom w:val="single" w:color="1B3A5C" w:sz="2"/>
              <w:right w:val="single" w:color="1B3A5C" w:sz="2"/>
            </w:tcBorders>
            <w:shd w:fill="1B3A5C" w:val="clear"/>
            <w:tcMar>
              <w:top w:type="dxa" w:w="80"/>
              <w:left w:type="dxa" w:w="160"/>
              <w:bottom w:type="dxa" w:w="80"/>
              <w:right w:type="dxa" w:w="80"/>
            </w:tcMar>
          </w:tcPr>
          <w:p>
            <w:r>
              <w:rPr>
                <w:rFonts w:ascii="Arial" w:cs="Arial" w:eastAsia="Arial" w:hAnsi="Arial"/>
                <w:b/>
                <w:bCs/>
                <w:color w:val="FFFFFF"/>
                <w:sz w:val="21"/>
                <w:szCs w:val="21"/>
              </w:rPr>
              <w:t xml:space="preserve">F. INVESTOR PROFILE FIT</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US-based investors</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Possible (direct SHA)</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Ideal — familiar structure</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Good (with US tax advice)</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EU-based investors</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Good</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Creates US tax exposure</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Ideal — familiar structure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Middle East / GCC investors</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Possible</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Moderate</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Good — well-known jurisdiction</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Asian institutional investors</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Possible</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Moderate</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Good — FATF compliant</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Crypto-native investors</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Possible (complex)</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Moderate</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Best — experienced admin</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Institutional / fund investors</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Possible</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Moderate</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Ideal — fund-grade structure</w:t>
            </w:r>
          </w:p>
        </w:tc>
      </w:tr>
      <w:tr>
        <w:tc>
          <w:tcPr>
            <w:tcW w:type="dxa" w:w="9360"/>
            <w:gridSpan w:val="4"/>
            <w:tcBorders>
              <w:top w:val="single" w:color="1B3A5C" w:sz="2"/>
              <w:left w:val="single" w:color="1B3A5C" w:sz="2"/>
              <w:bottom w:val="single" w:color="1B3A5C" w:sz="2"/>
              <w:right w:val="single" w:color="1B3A5C" w:sz="2"/>
            </w:tcBorders>
            <w:shd w:fill="1B3A5C" w:val="clear"/>
            <w:tcMar>
              <w:top w:type="dxa" w:w="80"/>
              <w:left w:type="dxa" w:w="160"/>
              <w:bottom w:type="dxa" w:w="80"/>
              <w:right w:type="dxa" w:w="80"/>
            </w:tcMar>
          </w:tcPr>
          <w:p>
            <w:r>
              <w:rPr>
                <w:rFonts w:ascii="Arial" w:cs="Arial" w:eastAsia="Arial" w:hAnsi="Arial"/>
                <w:b/>
                <w:bCs/>
                <w:color w:val="FFFFFF"/>
                <w:sz w:val="21"/>
                <w:szCs w:val="21"/>
              </w:rPr>
              <w:t xml:space="preserve">G. EXIT CONSIDERATIONS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Capital gains on exit (holding entity)</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N/A — per investor</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US federal CGT risk</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Exempt (participation exemption)</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Acquisition structure flexibility</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Per investor negotiation</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Acquire Delaware entity</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Acquire Luxembourg entity</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Attractiveness to EU acquirer</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Direct AB acquisition</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Delaware layer may complicate</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Clean Luxembourg structure</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Attractiveness to US acquirer</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Possible</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Ideal (Delaware target)</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Good (with tax structuring)</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IPO readiness</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Moderate</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Moderate</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High — standard EU listing structure</w:t>
            </w:r>
          </w:p>
        </w:tc>
      </w:tr>
      <w:tr>
        <w:tc>
          <w:tcPr>
            <w:tcW w:type="dxa" w:w="9360"/>
            <w:gridSpan w:val="4"/>
            <w:tcBorders>
              <w:top w:val="single" w:color="1B3A5C" w:sz="2"/>
              <w:left w:val="single" w:color="1B3A5C" w:sz="2"/>
              <w:bottom w:val="single" w:color="1B3A5C" w:sz="2"/>
              <w:right w:val="single" w:color="1B3A5C" w:sz="2"/>
            </w:tcBorders>
            <w:shd w:fill="1B3A5C" w:val="clear"/>
            <w:tcMar>
              <w:top w:type="dxa" w:w="80"/>
              <w:left w:type="dxa" w:w="160"/>
              <w:bottom w:type="dxa" w:w="80"/>
              <w:right w:type="dxa" w:w="80"/>
            </w:tcMar>
          </w:tcPr>
          <w:p>
            <w:r>
              <w:rPr>
                <w:rFonts w:ascii="Arial" w:cs="Arial" w:eastAsia="Arial" w:hAnsi="Arial"/>
                <w:b/>
                <w:bCs/>
                <w:color w:val="FFFFFF"/>
                <w:sz w:val="21"/>
                <w:szCs w:val="21"/>
              </w:rPr>
              <w:t xml:space="preserve">H. REGULATORY &amp; REPUTATIONAL</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Jurisdiction reputation</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Sweden (excellent)</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US (strong)</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Luxembourg (excellent, EU)</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FATF status</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Non-grey listed</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Non-grey listed</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Non-grey listed</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EU regulatory framework</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Yes (AB)</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No</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Yes (full EU directives)</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FDI screening (Swedish law)</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Yes — applies</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Yes — applies</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Yes — applies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AIFMD risk</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N/A</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N/A</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Below €100M threshold — N/A</w:t>
            </w:r>
          </w:p>
        </w:tc>
      </w:tr>
      <w:tr>
        <w:tc>
          <w:tcPr>
            <w:tcW w:type="dxa" w:w="32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MiCA compliance framework</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Swedish CSSF equivalent</w:t>
            </w:r>
          </w:p>
        </w:tc>
        <w:tc>
          <w:tcPr>
            <w:tcW w:type="dxa" w:w="190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US rules</w:t>
            </w:r>
          </w:p>
        </w:tc>
        <w:tc>
          <w:tcPr>
            <w:tcW w:type="dxa" w:w="2360"/>
            <w:tcBorders>
              <w:top w:val="single" w:color="DDDDDD" w:sz="1"/>
              <w:left w:val="single" w:color="DDDDDD" w:sz="1"/>
              <w:bottom w:val="single" w:color="DDDDDD" w:sz="1"/>
              <w:right w:val="single" w:color="DDDDDD" w:sz="1"/>
            </w:tcBorders>
            <w:shd w:fill="F7F9FC" w:val="clear"/>
            <w:tcMar>
              <w:top w:type="dxa" w:w="70"/>
              <w:left w:type="dxa" w:w="120"/>
              <w:bottom w:type="dxa" w:w="70"/>
              <w:right w:type="dxa" w:w="80"/>
            </w:tcMar>
          </w:tcPr>
          <w:p>
            <w:r>
              <w:rPr>
                <w:rFonts w:ascii="Arial" w:cs="Arial" w:eastAsia="Arial" w:hAnsi="Arial"/>
                <w:b w:val="false"/>
                <w:bCs w:val="false"/>
                <w:color w:val="1A1A2E"/>
                <w:sz w:val="19"/>
                <w:szCs w:val="19"/>
              </w:rPr>
              <w:t xml:space="preserve">Luxembourg CSSF — most advanced</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Blacklist / grey-list risk</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None</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None</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val="false"/>
                <w:bCs w:val="false"/>
                <w:color w:val="1A1A2E"/>
                <w:sz w:val="19"/>
                <w:szCs w:val="19"/>
              </w:rPr>
              <w:t xml:space="preserve">None</w:t>
            </w:r>
          </w:p>
        </w:tc>
      </w:tr>
    </w:tbl>
    <w:p>
      <w:pPr>
        <w:spacing w:before="200" w:after="0"/>
      </w:pPr>
    </w:p>
    <w:p>
      <w:r>
        <w:br w:type="page"/>
      </w:r>
    </w:p>
    <w:p>
      <w:pPr>
        <w:pStyle w:val="Heading1"/>
        <w:spacing w:before="360" w:after="80"/>
      </w:pPr>
      <w:r>
        <w:rPr>
          <w:rFonts w:ascii="Arial" w:cs="Arial" w:eastAsia="Arial" w:hAnsi="Arial"/>
          <w:b/>
          <w:bCs/>
          <w:color w:val="0D2B45"/>
          <w:sz w:val="30"/>
          <w:szCs w:val="30"/>
        </w:rPr>
        <w:t xml:space="preserve">4. Tax Analysis</w:t>
      </w:r>
    </w:p>
    <w:p>
      <w:pPr>
        <w:pBdr>
          <w:bottom w:val="single" w:color="2E6DA4" w:sz="6" w:space="1"/>
        </w:pBdr>
        <w:spacing w:before="0" w:after="180"/>
      </w:pPr>
    </w:p>
    <w:p>
      <w:pPr>
        <w:pStyle w:val="Heading2"/>
        <w:spacing w:before="280" w:after="60"/>
      </w:pPr>
      <w:r>
        <w:rPr>
          <w:rFonts w:ascii="Arial" w:cs="Arial" w:eastAsia="Arial" w:hAnsi="Arial"/>
          <w:b/>
          <w:bCs/>
          <w:color w:val="2E6DA4"/>
          <w:sz w:val="24"/>
          <w:szCs w:val="24"/>
        </w:rPr>
        <w:t xml:space="preserve">4a. Swedish Withholding Tax on Dividends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0D2B45" w:sz="1"/>
              <w:left w:val="single" w:color="0D2B45" w:sz="1"/>
              <w:bottom w:val="single" w:color="0D2B45" w:sz="1"/>
              <w:right w:val="single" w:color="0D2B45" w:sz="1"/>
            </w:tcBorders>
            <w:shd w:fill="0D2B45" w:val="clear"/>
            <w:tcMar>
              <w:top w:type="dxa" w:w="80"/>
              <w:left w:type="dxa" w:w="120"/>
              <w:bottom w:type="dxa" w:w="80"/>
              <w:right w:type="dxa" w:w="80"/>
            </w:tcMar>
          </w:tcPr>
          <w:p>
            <w:r>
              <w:rPr>
                <w:rFonts w:ascii="Arial" w:cs="Arial" w:eastAsia="Arial" w:hAnsi="Arial"/>
                <w:b/>
                <w:bCs/>
                <w:color w:val="FFFFFF"/>
                <w:sz w:val="20"/>
                <w:szCs w:val="20"/>
              </w:rPr>
              <w:t xml:space="preserve">Structure</w:t>
            </w:r>
          </w:p>
        </w:tc>
        <w:tc>
          <w:tcPr>
            <w:tcW w:type="dxa" w:w="2000"/>
            <w:tcBorders>
              <w:top w:val="single" w:color="0D2B45" w:sz="1"/>
              <w:left w:val="single" w:color="0D2B45" w:sz="1"/>
              <w:bottom w:val="single" w:color="0D2B45" w:sz="1"/>
              <w:right w:val="single" w:color="0D2B45" w:sz="1"/>
            </w:tcBorders>
            <w:shd w:fill="0D2B45" w:val="clear"/>
            <w:tcMar>
              <w:top w:type="dxa" w:w="80"/>
              <w:left w:type="dxa" w:w="120"/>
              <w:bottom w:type="dxa" w:w="80"/>
              <w:right w:type="dxa" w:w="80"/>
            </w:tcMar>
          </w:tcPr>
          <w:p>
            <w:r>
              <w:rPr>
                <w:rFonts w:ascii="Arial" w:cs="Arial" w:eastAsia="Arial" w:hAnsi="Arial"/>
                <w:b/>
                <w:bCs/>
                <w:color w:val="FFFFFF"/>
                <w:sz w:val="20"/>
                <w:szCs w:val="20"/>
              </w:rPr>
              <w:t xml:space="preserve">Standard Rate</w:t>
            </w:r>
          </w:p>
        </w:tc>
        <w:tc>
          <w:tcPr>
            <w:tcW w:type="dxa" w:w="2000"/>
            <w:tcBorders>
              <w:top w:val="single" w:color="0D2B45" w:sz="1"/>
              <w:left w:val="single" w:color="0D2B45" w:sz="1"/>
              <w:bottom w:val="single" w:color="0D2B45" w:sz="1"/>
              <w:right w:val="single" w:color="0D2B45" w:sz="1"/>
            </w:tcBorders>
            <w:shd w:fill="0D2B45" w:val="clear"/>
            <w:tcMar>
              <w:top w:type="dxa" w:w="80"/>
              <w:left w:type="dxa" w:w="120"/>
              <w:bottom w:type="dxa" w:w="80"/>
              <w:right w:type="dxa" w:w="80"/>
            </w:tcMar>
          </w:tcPr>
          <w:p>
            <w:r>
              <w:rPr>
                <w:rFonts w:ascii="Arial" w:cs="Arial" w:eastAsia="Arial" w:hAnsi="Arial"/>
                <w:b/>
                <w:bCs/>
                <w:color w:val="FFFFFF"/>
                <w:sz w:val="20"/>
                <w:szCs w:val="20"/>
              </w:rPr>
              <w:t xml:space="preserve">Treaty / Directive Rate</w:t>
            </w:r>
          </w:p>
        </w:tc>
        <w:tc>
          <w:tcPr>
            <w:tcW w:type="dxa" w:w="2360"/>
            <w:tcBorders>
              <w:top w:val="single" w:color="0D2B45" w:sz="1"/>
              <w:left w:val="single" w:color="0D2B45" w:sz="1"/>
              <w:bottom w:val="single" w:color="0D2B45" w:sz="1"/>
              <w:right w:val="single" w:color="0D2B45" w:sz="1"/>
            </w:tcBorders>
            <w:shd w:fill="0D2B45" w:val="clear"/>
            <w:tcMar>
              <w:top w:type="dxa" w:w="80"/>
              <w:left w:type="dxa" w:w="120"/>
              <w:bottom w:type="dxa" w:w="80"/>
              <w:right w:type="dxa" w:w="80"/>
            </w:tcMar>
          </w:tcPr>
          <w:p>
            <w:r>
              <w:rPr>
                <w:rFonts w:ascii="Arial" w:cs="Arial" w:eastAsia="Arial" w:hAnsi="Arial"/>
                <w:b/>
                <w:bCs/>
                <w:color w:val="FFFFFF"/>
                <w:sz w:val="20"/>
                <w:szCs w:val="20"/>
              </w:rPr>
              <w:t xml:space="preserve">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Direct (per investor jurisdiction)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0–15% (varies by treaty)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Depends on investor home country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Delaware Entity (LLC)</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30%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E67E22"/>
                <w:sz w:val="19"/>
                <w:szCs w:val="19"/>
              </w:rPr>
              <w:t xml:space="preserve">~15% (uncertain)</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LLC may not qualify as treaty resident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Delaware Entity (C-Corp)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C-Corp more reliable but double tax risk</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Luxembourg SOPARFI</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30%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bCs/>
                <w:color w:val="1A6B3C"/>
                <w:sz w:val="19"/>
                <w:szCs w:val="19"/>
              </w:rPr>
              <w:t xml:space="preserve">0%</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≥10% holding, 12+ months, Parent-Sub Directive</w:t>
            </w:r>
          </w:p>
        </w:tc>
      </w:tr>
    </w:tbl>
    <w:p>
      <w:pPr>
        <w:spacing w:before="200" w:after="0"/>
      </w:pPr>
    </w:p>
    <w:p>
      <w:pPr>
        <w:pStyle w:val="Heading2"/>
        <w:spacing w:before="280" w:after="60"/>
      </w:pPr>
      <w:r>
        <w:rPr>
          <w:rFonts w:ascii="Arial" w:cs="Arial" w:eastAsia="Arial" w:hAnsi="Arial"/>
          <w:b/>
          <w:bCs/>
          <w:color w:val="2E6DA4"/>
          <w:sz w:val="24"/>
          <w:szCs w:val="24"/>
        </w:rPr>
        <w:t xml:space="preserve">4b. Capital Gains on Exit</w:t>
      </w:r>
    </w:p>
    <w:p>
      <w:pPr>
        <w:spacing w:before="80" w:after="0"/>
      </w:pPr>
    </w:p>
    <w:p>
      <w:pPr>
        <w:pStyle w:val="ListParagraph"/>
        <w:numPr>
          <w:ilvl w:val="0"/>
          <w:numId w:val="2"/>
        </w:numPr>
        <w:spacing w:before="40" w:after="40"/>
      </w:pPr>
      <w:r>
        <w:rPr>
          <w:rFonts w:ascii="Arial" w:cs="Arial" w:eastAsia="Arial" w:hAnsi="Arial"/>
          <w:color w:val="1A1A2E"/>
          <w:sz w:val="20"/>
          <w:szCs w:val="20"/>
        </w:rPr>
        <w:t xml:space="preserve">Direct investment: each investor pays capital gains in their home jurisdiction — no structural relief.</w:t>
      </w:r>
    </w:p>
    <w:p>
      <w:pPr>
        <w:pStyle w:val="ListParagraph"/>
        <w:numPr>
          <w:ilvl w:val="0"/>
          <w:numId w:val="2"/>
        </w:numPr>
        <w:spacing w:before="40" w:after="40"/>
      </w:pPr>
      <w:r>
        <w:rPr>
          <w:rFonts w:ascii="Arial" w:cs="Arial" w:eastAsia="Arial" w:hAnsi="Arial"/>
          <w:color w:val="1A1A2E"/>
          <w:sz w:val="20"/>
          <w:szCs w:val="20"/>
        </w:rPr>
        <w:t xml:space="preserve">Delaware LLC: pass-through to investors — each investor pays in their own jurisdiction; non-US investors may face US tax obligations.</w:t>
      </w:r>
    </w:p>
    <w:p>
      <w:pPr>
        <w:pStyle w:val="ListParagraph"/>
        <w:numPr>
          <w:ilvl w:val="0"/>
          <w:numId w:val="2"/>
        </w:numPr>
        <w:spacing w:before="40" w:after="40"/>
      </w:pPr>
      <w:r>
        <w:rPr>
          <w:rFonts w:ascii="Arial" w:cs="Arial" w:eastAsia="Arial" w:hAnsi="Arial"/>
          <w:color w:val="1A1A2E"/>
          <w:sz w:val="20"/>
          <w:szCs w:val="20"/>
        </w:rPr>
        <w:t xml:space="preserve">Delaware C-Corp: US federal corporate CGT at the entity level on exit; then distribution tax to investors — potential double taxation.</w:t>
      </w:r>
    </w:p>
    <w:p>
      <w:pPr>
        <w:pStyle w:val="ListParagraph"/>
        <w:numPr>
          <w:ilvl w:val="0"/>
          <w:numId w:val="2"/>
        </w:numPr>
        <w:spacing w:before="40" w:after="40"/>
      </w:pPr>
      <w:r>
        <w:rPr>
          <w:rFonts w:ascii="Arial" w:cs="Arial" w:eastAsia="Arial" w:hAnsi="Arial"/>
          <w:color w:val="1A1A2E"/>
          <w:sz w:val="20"/>
          <w:szCs w:val="20"/>
        </w:rPr>
        <w:t xml:space="preserve">Luxembourg SOPARFI: capital gains on disposal of AB shares are fully exempt under the Luxembourg participation exemption, provided the holding has been held for 12 months and meets the 10% / €1.2M threshold.</w:t>
      </w:r>
    </w:p>
    <w:p>
      <w:pPr>
        <w:pStyle w:val="ListParagraph"/>
        <w:numPr>
          <w:ilvl w:val="0"/>
          <w:numId w:val="2"/>
        </w:numPr>
        <w:spacing w:before="40" w:after="40"/>
      </w:pPr>
      <w:r>
        <w:rPr>
          <w:rFonts w:ascii="Arial" w:cs="Arial" w:eastAsia="Arial" w:hAnsi="Arial"/>
          <w:color w:val="1A1A2E"/>
          <w:sz w:val="20"/>
          <w:szCs w:val="20"/>
        </w:rPr>
        <w:t xml:space="preserve">The Luxembourg tax exemption on a hypothetical exit from €10M to €50M investment value would shelter approximately €40M of gain from Luxembourg-level tax — a compelling structural advantage.</w:t>
      </w:r>
    </w:p>
    <w:p>
      <w:pPr>
        <w:spacing w:before="200" w:after="0"/>
      </w:pPr>
    </w:p>
    <w:p>
      <w:pPr>
        <w:pStyle w:val="Heading2"/>
        <w:spacing w:before="280" w:after="60"/>
      </w:pPr>
      <w:r>
        <w:rPr>
          <w:rFonts w:ascii="Arial" w:cs="Arial" w:eastAsia="Arial" w:hAnsi="Arial"/>
          <w:b/>
          <w:bCs/>
          <w:color w:val="2E6DA4"/>
          <w:sz w:val="24"/>
          <w:szCs w:val="24"/>
        </w:rPr>
        <w:t xml:space="preserve">4c. Non-US Investor Tax Exposure — Delaware Risk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DC3545" w:sz="16"/>
              <w:bottom w:val="single" w:color="DDDDDD" w:sz="1"/>
              <w:right w:val="single" w:color="DDDDDD" w:sz="1"/>
            </w:tcBorders>
            <w:shd w:fill="F8D7DA" w:val="clear"/>
            <w:tcMar>
              <w:top w:type="dxa" w:w="120"/>
              <w:left w:type="dxa" w:w="200"/>
              <w:bottom w:type="dxa" w:w="120"/>
              <w:right w:type="dxa" w:w="160"/>
            </w:tcMar>
          </w:tcPr>
          <w:p>
            <w:pPr>
              <w:spacing w:before="0" w:after="40"/>
            </w:pPr>
            <w:r>
              <w:rPr>
                <w:rFonts w:ascii="Arial" w:cs="Arial" w:eastAsia="Arial" w:hAnsi="Arial"/>
                <w:b/>
                <w:bCs/>
                <w:color w:val="1B3A5C"/>
                <w:sz w:val="20"/>
                <w:szCs w:val="20"/>
              </w:rPr>
              <w:t xml:space="preserve">Delaware LLC Warning for Non-US Investors</w:t>
            </w:r>
          </w:p>
          <w:p>
            <w:pPr>
              <w:spacing w:before="0" w:after="0"/>
            </w:pPr>
            <w:r>
              <w:rPr>
                <w:rFonts w:ascii="Arial" w:cs="Arial" w:eastAsia="Arial" w:hAnsi="Arial"/>
                <w:color w:val="1A1A2E"/>
                <w:sz w:val="19"/>
                <w:szCs w:val="19"/>
              </w:rPr>
              <w:t xml:space="preserve">A Delaware LLC is tax-transparent. Non-US investors holding LLC interests may receive a Schedule K-1 and become obligated to file US tax returns, even if they have no other US connection. This is a significant deterrent for EU, Middle Eastern, and Asian investors and should be disclosed before they commit to a Delaware structure.</w:t>
            </w:r>
          </w:p>
        </w:tc>
      </w:tr>
    </w:tbl>
    <w:p>
      <w:pPr>
        <w:spacing w:before="200" w:after="0"/>
      </w:pPr>
    </w:p>
    <w:p>
      <w:r>
        <w:br w:type="page"/>
      </w:r>
    </w:p>
    <w:p>
      <w:pPr>
        <w:pStyle w:val="Heading1"/>
        <w:spacing w:before="360" w:after="80"/>
      </w:pPr>
      <w:r>
        <w:rPr>
          <w:rFonts w:ascii="Arial" w:cs="Arial" w:eastAsia="Arial" w:hAnsi="Arial"/>
          <w:b/>
          <w:bCs/>
          <w:color w:val="0D2B45"/>
          <w:sz w:val="30"/>
          <w:szCs w:val="30"/>
        </w:rPr>
        <w:t xml:space="preserve">5. Cost Comparison</w:t>
      </w:r>
    </w:p>
    <w:p>
      <w:pPr>
        <w:pBdr>
          <w:bottom w:val="single" w:color="2E6DA4" w:sz="6" w:space="1"/>
        </w:pBdr>
        <w:spacing w:before="0" w:after="180"/>
      </w:pPr>
    </w:p>
    <w:p>
      <w:pPr>
        <w:spacing w:before="60" w:after="60"/>
      </w:pPr>
      <w:r>
        <w:rPr>
          <w:rFonts w:ascii="Arial" w:cs="Arial" w:eastAsia="Arial" w:hAnsi="Arial"/>
          <w:color w:val="555577"/>
          <w:sz w:val="19"/>
          <w:szCs w:val="19"/>
        </w:rPr>
        <w:t xml:space="preserve">All figures are indicative. Legal costs vary significantly by law firm and complexity. Tax saving figures are illustrative based on a €10M investment and 30% withholding tax rate.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0D2B45" w:sz="1"/>
              <w:left w:val="single" w:color="0D2B45" w:sz="1"/>
              <w:bottom w:val="single" w:color="0D2B45" w:sz="1"/>
              <w:right w:val="single" w:color="0D2B45" w:sz="1"/>
            </w:tcBorders>
            <w:shd w:fill="0D2B45" w:val="clear"/>
            <w:tcMar>
              <w:top w:type="dxa" w:w="80"/>
              <w:left w:type="dxa" w:w="120"/>
              <w:bottom w:type="dxa" w:w="80"/>
              <w:right w:type="dxa" w:w="80"/>
            </w:tcMar>
          </w:tcPr>
          <w:p>
            <w:r>
              <w:rPr>
                <w:rFonts w:ascii="Arial" w:cs="Arial" w:eastAsia="Arial" w:hAnsi="Arial"/>
                <w:b/>
                <w:bCs/>
                <w:color w:val="FFFFFF"/>
                <w:sz w:val="20"/>
                <w:szCs w:val="20"/>
              </w:rPr>
              <w:t xml:space="preserve">Cost Item</w:t>
            </w:r>
          </w:p>
        </w:tc>
        <w:tc>
          <w:tcPr>
            <w:tcW w:type="dxa" w:w="2000"/>
            <w:tcBorders>
              <w:top w:val="single" w:color="0D2B45" w:sz="1"/>
              <w:left w:val="single" w:color="0D2B45" w:sz="1"/>
              <w:bottom w:val="single" w:color="0D2B45" w:sz="1"/>
              <w:right w:val="single" w:color="0D2B45" w:sz="1"/>
            </w:tcBorders>
            <w:shd w:fill="0D2B45" w:val="clear"/>
            <w:tcMar>
              <w:top w:type="dxa" w:w="80"/>
              <w:left w:type="dxa" w:w="120"/>
              <w:bottom w:type="dxa" w:w="80"/>
              <w:right w:type="dxa" w:w="80"/>
            </w:tcMar>
          </w:tcPr>
          <w:p>
            <w:r>
              <w:rPr>
                <w:rFonts w:ascii="Arial" w:cs="Arial" w:eastAsia="Arial" w:hAnsi="Arial"/>
                <w:b/>
                <w:bCs/>
                <w:color w:val="FFFFFF"/>
                <w:sz w:val="20"/>
                <w:szCs w:val="20"/>
              </w:rPr>
              <w:t xml:space="preserve">Direct</w:t>
            </w:r>
          </w:p>
        </w:tc>
        <w:tc>
          <w:tcPr>
            <w:tcW w:type="dxa" w:w="2000"/>
            <w:tcBorders>
              <w:top w:val="single" w:color="0D2B45" w:sz="1"/>
              <w:left w:val="single" w:color="0D2B45" w:sz="1"/>
              <w:bottom w:val="single" w:color="0D2B45" w:sz="1"/>
              <w:right w:val="single" w:color="0D2B45" w:sz="1"/>
            </w:tcBorders>
            <w:shd w:fill="0D2B45" w:val="clear"/>
            <w:tcMar>
              <w:top w:type="dxa" w:w="80"/>
              <w:left w:type="dxa" w:w="120"/>
              <w:bottom w:type="dxa" w:w="80"/>
              <w:right w:type="dxa" w:w="80"/>
            </w:tcMar>
          </w:tcPr>
          <w:p>
            <w:r>
              <w:rPr>
                <w:rFonts w:ascii="Arial" w:cs="Arial" w:eastAsia="Arial" w:hAnsi="Arial"/>
                <w:b/>
                <w:bCs/>
                <w:color w:val="FFFFFF"/>
                <w:sz w:val="20"/>
                <w:szCs w:val="20"/>
              </w:rPr>
              <w:t xml:space="preserve">Delaware</w:t>
            </w:r>
          </w:p>
        </w:tc>
        <w:tc>
          <w:tcPr>
            <w:tcW w:type="dxa" w:w="2160"/>
            <w:tcBorders>
              <w:top w:val="single" w:color="0D2B45" w:sz="1"/>
              <w:left w:val="single" w:color="0D2B45" w:sz="1"/>
              <w:bottom w:val="single" w:color="0D2B45" w:sz="1"/>
              <w:right w:val="single" w:color="0D2B45" w:sz="1"/>
            </w:tcBorders>
            <w:shd w:fill="0D2B45" w:val="clear"/>
            <w:tcMar>
              <w:top w:type="dxa" w:w="80"/>
              <w:left w:type="dxa" w:w="120"/>
              <w:bottom w:type="dxa" w:w="80"/>
              <w:right w:type="dxa" w:w="80"/>
            </w:tcMar>
          </w:tcPr>
          <w:p>
            <w:r>
              <w:rPr>
                <w:rFonts w:ascii="Arial" w:cs="Arial" w:eastAsia="Arial" w:hAnsi="Arial"/>
                <w:b/>
                <w:bCs/>
                <w:color w:val="FFFFFF"/>
                <w:sz w:val="20"/>
                <w:szCs w:val="20"/>
              </w:rPr>
              <w:t xml:space="preserve">Luxembourg</w:t>
            </w:r>
          </w:p>
        </w:tc>
      </w:tr>
      <w:tr>
        <w:trPr>
          <w:tblHeader w:val="false"/>
        </w:trP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bCs/>
                <w:color w:val="1B3A5C"/>
                <w:sz w:val="19"/>
                <w:szCs w:val="19"/>
              </w:rPr>
              <w:t xml:space="preserve">Entity setup</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€1,500–3,000</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€15,000–30,000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Legal (round docs)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€30,000–60,000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€45,000–90,000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€55,000–110,000</w:t>
            </w:r>
          </w:p>
        </w:tc>
      </w:tr>
      <w:tr>
        <w:trPr>
          <w:tblHeader w:val="false"/>
        </w:trP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bCs/>
                <w:color w:val="1B3A5C"/>
                <w:sz w:val="19"/>
                <w:szCs w:val="19"/>
              </w:rPr>
              <w:t xml:space="preserve">KYC / blockchain analytics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€5,000–15,000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€5,000–15,000</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€5,000–15,000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Banking / conversion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Variable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Variable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Variable</w:t>
            </w:r>
          </w:p>
        </w:tc>
      </w:tr>
      <w:tr>
        <w:trPr>
          <w:tblHeader w:val="false"/>
        </w:trP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bCs/>
                <w:color w:val="1B3A5C"/>
                <w:sz w:val="19"/>
                <w:szCs w:val="19"/>
              </w:rPr>
              <w:t xml:space="preserve">Annual running cost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Minimal</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€5,000–10,000</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€36,000–98,000</w:t>
            </w:r>
          </w:p>
        </w:tc>
      </w:tr>
      <w:tr>
        <w:trPr>
          <w:tblHeader w:val="false"/>
        </w:trPr>
        <w:tc>
          <w:tcPr>
            <w:tcW w:type="dxa" w:w="3200"/>
            <w:tcBorders>
              <w:top w:val="single" w:color="28A745" w:sz="1"/>
              <w:left w:val="single" w:color="28A745" w:sz="1"/>
              <w:bottom w:val="single" w:color="28A745" w:sz="1"/>
              <w:right w:val="single" w:color="28A745" w:sz="1"/>
            </w:tcBorders>
            <w:shd w:fill="D4EDDA" w:val="clear"/>
            <w:tcMar>
              <w:top w:type="dxa" w:w="80"/>
              <w:left w:type="dxa" w:w="120"/>
              <w:bottom w:type="dxa" w:w="80"/>
              <w:right w:type="dxa" w:w="80"/>
            </w:tcMar>
          </w:tcPr>
          <w:p>
            <w:r>
              <w:rPr>
                <w:rFonts w:ascii="Arial" w:cs="Arial" w:eastAsia="Arial" w:hAnsi="Arial"/>
                <w:b/>
                <w:bCs/>
                <w:color w:val="1B3A5C"/>
                <w:sz w:val="19"/>
                <w:szCs w:val="19"/>
              </w:rPr>
              <w:t xml:space="preserve">Tax saving (dividends, 10M)</w:t>
            </w:r>
          </w:p>
        </w:tc>
        <w:tc>
          <w:tcPr>
            <w:tcW w:type="dxa" w:w="2000"/>
            <w:tcBorders>
              <w:top w:val="single" w:color="28A745" w:sz="1"/>
              <w:left w:val="single" w:color="28A745" w:sz="1"/>
              <w:bottom w:val="single" w:color="28A745" w:sz="1"/>
              <w:right w:val="single" w:color="28A745" w:sz="1"/>
            </w:tcBorders>
            <w:shd w:fill="D4EDDA" w:val="clear"/>
            <w:tcMar>
              <w:top w:type="dxa" w:w="80"/>
              <w:left w:type="dxa" w:w="120"/>
              <w:bottom w:type="dxa" w:w="80"/>
              <w:right w:type="dxa" w:w="80"/>
            </w:tcMar>
          </w:tcPr>
          <w:p>
            <w:r>
              <w:rPr>
                <w:rFonts w:ascii="Arial" w:cs="Arial" w:eastAsia="Arial" w:hAnsi="Arial"/>
                <w:b w:val="false"/>
                <w:bCs w:val="false"/>
                <w:color w:val="1A6B3C"/>
                <w:sz w:val="19"/>
                <w:szCs w:val="19"/>
              </w:rPr>
              <w:t xml:space="preserve">0–30% WHT</w:t>
            </w:r>
          </w:p>
        </w:tc>
        <w:tc>
          <w:tcPr>
            <w:tcW w:type="dxa" w:w="2000"/>
            <w:tcBorders>
              <w:top w:val="single" w:color="28A745" w:sz="1"/>
              <w:left w:val="single" w:color="28A745" w:sz="1"/>
              <w:bottom w:val="single" w:color="28A745" w:sz="1"/>
              <w:right w:val="single" w:color="28A745" w:sz="1"/>
            </w:tcBorders>
            <w:shd w:fill="D4EDDA" w:val="clear"/>
            <w:tcMar>
              <w:top w:type="dxa" w:w="80"/>
              <w:left w:type="dxa" w:w="120"/>
              <w:bottom w:type="dxa" w:w="80"/>
              <w:right w:type="dxa" w:w="80"/>
            </w:tcMar>
          </w:tcPr>
          <w:p>
            <w:r>
              <w:rPr>
                <w:rFonts w:ascii="Arial" w:cs="Arial" w:eastAsia="Arial" w:hAnsi="Arial"/>
                <w:b w:val="false"/>
                <w:bCs w:val="false"/>
                <w:color w:val="1A6B3C"/>
                <w:sz w:val="19"/>
                <w:szCs w:val="19"/>
              </w:rPr>
              <w:t xml:space="preserve">~15% WHT</w:t>
            </w:r>
          </w:p>
        </w:tc>
        <w:tc>
          <w:tcPr>
            <w:tcW w:type="dxa" w:w="2160"/>
            <w:tcBorders>
              <w:top w:val="single" w:color="28A745" w:sz="1"/>
              <w:left w:val="single" w:color="28A745" w:sz="1"/>
              <w:bottom w:val="single" w:color="28A745" w:sz="1"/>
              <w:right w:val="single" w:color="28A745" w:sz="1"/>
            </w:tcBorders>
            <w:shd w:fill="D4EDDA" w:val="clear"/>
            <w:tcMar>
              <w:top w:type="dxa" w:w="80"/>
              <w:left w:type="dxa" w:w="120"/>
              <w:bottom w:type="dxa" w:w="80"/>
              <w:right w:type="dxa" w:w="80"/>
            </w:tcMar>
          </w:tcPr>
          <w:p>
            <w:r>
              <w:rPr>
                <w:rFonts w:ascii="Arial" w:cs="Arial" w:eastAsia="Arial" w:hAnsi="Arial"/>
                <w:b w:val="false"/>
                <w:bCs w:val="false"/>
                <w:color w:val="1A6B3C"/>
                <w:sz w:val="19"/>
                <w:szCs w:val="19"/>
              </w:rPr>
              <w:t xml:space="preserve">0% WHT (saving up to €3M+)</w:t>
            </w:r>
          </w:p>
        </w:tc>
      </w:tr>
      <w:tr>
        <w:trPr>
          <w:tblHeader w:val="false"/>
        </w:trPr>
        <w:tc>
          <w:tcPr>
            <w:tcW w:type="dxa" w:w="3200"/>
            <w:tcBorders>
              <w:top w:val="single" w:color="28A745" w:sz="1"/>
              <w:left w:val="single" w:color="28A745" w:sz="1"/>
              <w:bottom w:val="single" w:color="28A745" w:sz="1"/>
              <w:right w:val="single" w:color="28A745" w:sz="1"/>
            </w:tcBorders>
            <w:shd w:fill="D4EDDA" w:val="clear"/>
            <w:tcMar>
              <w:top w:type="dxa" w:w="80"/>
              <w:left w:type="dxa" w:w="120"/>
              <w:bottom w:type="dxa" w:w="80"/>
              <w:right w:type="dxa" w:w="80"/>
            </w:tcMar>
          </w:tcPr>
          <w:p>
            <w:r>
              <w:rPr>
                <w:rFonts w:ascii="Arial" w:cs="Arial" w:eastAsia="Arial" w:hAnsi="Arial"/>
                <w:b/>
                <w:bCs/>
                <w:color w:val="1B3A5C"/>
                <w:sz w:val="19"/>
                <w:szCs w:val="19"/>
              </w:rPr>
              <w:t xml:space="preserve">Tax saving (exit, 10M→50M gain)</w:t>
            </w:r>
          </w:p>
        </w:tc>
        <w:tc>
          <w:tcPr>
            <w:tcW w:type="dxa" w:w="2000"/>
            <w:tcBorders>
              <w:top w:val="single" w:color="28A745" w:sz="1"/>
              <w:left w:val="single" w:color="28A745" w:sz="1"/>
              <w:bottom w:val="single" w:color="28A745" w:sz="1"/>
              <w:right w:val="single" w:color="28A745" w:sz="1"/>
            </w:tcBorders>
            <w:shd w:fill="D4EDDA" w:val="clear"/>
            <w:tcMar>
              <w:top w:type="dxa" w:w="80"/>
              <w:left w:type="dxa" w:w="120"/>
              <w:bottom w:type="dxa" w:w="80"/>
              <w:right w:type="dxa" w:w="80"/>
            </w:tcMar>
          </w:tcPr>
          <w:p>
            <w:r>
              <w:rPr>
                <w:rFonts w:ascii="Arial" w:cs="Arial" w:eastAsia="Arial" w:hAnsi="Arial"/>
                <w:b w:val="false"/>
                <w:bCs w:val="false"/>
                <w:color w:val="1A6B3C"/>
                <w:sz w:val="19"/>
                <w:szCs w:val="19"/>
              </w:rPr>
              <w:t xml:space="preserve">Per investor</w:t>
            </w:r>
          </w:p>
        </w:tc>
        <w:tc>
          <w:tcPr>
            <w:tcW w:type="dxa" w:w="2000"/>
            <w:tcBorders>
              <w:top w:val="single" w:color="28A745" w:sz="1"/>
              <w:left w:val="single" w:color="28A745" w:sz="1"/>
              <w:bottom w:val="single" w:color="28A745" w:sz="1"/>
              <w:right w:val="single" w:color="28A745" w:sz="1"/>
            </w:tcBorders>
            <w:shd w:fill="D4EDDA" w:val="clear"/>
            <w:tcMar>
              <w:top w:type="dxa" w:w="80"/>
              <w:left w:type="dxa" w:w="120"/>
              <w:bottom w:type="dxa" w:w="80"/>
              <w:right w:type="dxa" w:w="80"/>
            </w:tcMar>
          </w:tcPr>
          <w:p>
            <w:r>
              <w:rPr>
                <w:rFonts w:ascii="Arial" w:cs="Arial" w:eastAsia="Arial" w:hAnsi="Arial"/>
                <w:b w:val="false"/>
                <w:bCs w:val="false"/>
                <w:color w:val="1A6B3C"/>
                <w:sz w:val="19"/>
                <w:szCs w:val="19"/>
              </w:rPr>
              <w:t xml:space="preserve">Partial</w:t>
            </w:r>
          </w:p>
        </w:tc>
        <w:tc>
          <w:tcPr>
            <w:tcW w:type="dxa" w:w="2160"/>
            <w:tcBorders>
              <w:top w:val="single" w:color="28A745" w:sz="1"/>
              <w:left w:val="single" w:color="28A745" w:sz="1"/>
              <w:bottom w:val="single" w:color="28A745" w:sz="1"/>
              <w:right w:val="single" w:color="28A745" w:sz="1"/>
            </w:tcBorders>
            <w:shd w:fill="D4EDDA" w:val="clear"/>
            <w:tcMar>
              <w:top w:type="dxa" w:w="80"/>
              <w:left w:type="dxa" w:w="120"/>
              <w:bottom w:type="dxa" w:w="80"/>
              <w:right w:type="dxa" w:w="80"/>
            </w:tcMar>
          </w:tcPr>
          <w:p>
            <w:r>
              <w:rPr>
                <w:rFonts w:ascii="Arial" w:cs="Arial" w:eastAsia="Arial" w:hAnsi="Arial"/>
                <w:b w:val="false"/>
                <w:bCs w:val="false"/>
                <w:color w:val="1A6B3C"/>
                <w:sz w:val="19"/>
                <w:szCs w:val="19"/>
              </w:rPr>
              <w:t xml:space="preserve">~€40M exempt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2E6DA4" w:sz="16"/>
              <w:bottom w:val="single" w:color="DDDDDD" w:sz="1"/>
              <w:right w:val="single" w:color="DDDDDD" w:sz="1"/>
            </w:tcBorders>
            <w:shd w:fill="EBF4FB" w:val="clear"/>
            <w:tcMar>
              <w:top w:type="dxa" w:w="120"/>
              <w:left w:type="dxa" w:w="200"/>
              <w:bottom w:type="dxa" w:w="120"/>
              <w:right w:type="dxa" w:w="160"/>
            </w:tcMar>
          </w:tcPr>
          <w:p>
            <w:pPr>
              <w:spacing w:before="0" w:after="40"/>
            </w:pPr>
            <w:r>
              <w:rPr>
                <w:rFonts w:ascii="Arial" w:cs="Arial" w:eastAsia="Arial" w:hAnsi="Arial"/>
                <w:b/>
                <w:bCs/>
                <w:color w:val="1B3A5C"/>
                <w:sz w:val="20"/>
                <w:szCs w:val="20"/>
              </w:rPr>
              <w:t xml:space="preserve">Cost-Benefit on Luxembourg</w:t>
            </w:r>
          </w:p>
          <w:p>
            <w:pPr>
              <w:spacing w:before="0" w:after="0"/>
            </w:pPr>
            <w:r>
              <w:rPr>
                <w:rFonts w:ascii="Arial" w:cs="Arial" w:eastAsia="Arial" w:hAnsi="Arial"/>
                <w:color w:val="1A1A2E"/>
                <w:sz w:val="19"/>
                <w:szCs w:val="19"/>
              </w:rPr>
              <w:t xml:space="preserve">At a €10M investment level, the Luxembourg running cost of €36,000–98,000 per year represents 0.4–1% annually. This is justified if: (a) regular dividends are planned (0% vs 30% WHT is substantial), or (b) a significant exit is anticipated (participation exemption on capital gains). For a purely growth-focused company with no near-term dividends or exit, the cost-benefit case weakens.</w:t>
            </w:r>
          </w:p>
        </w:tc>
      </w:tr>
    </w:tbl>
    <w:p>
      <w:pPr>
        <w:spacing w:before="200" w:after="0"/>
      </w:pPr>
    </w:p>
    <w:p>
      <w:pPr>
        <w:pStyle w:val="Heading1"/>
        <w:spacing w:before="360" w:after="80"/>
      </w:pPr>
      <w:r>
        <w:rPr>
          <w:rFonts w:ascii="Arial" w:cs="Arial" w:eastAsia="Arial" w:hAnsi="Arial"/>
          <w:b/>
          <w:bCs/>
          <w:color w:val="0D2B45"/>
          <w:sz w:val="30"/>
          <w:szCs w:val="30"/>
        </w:rPr>
        <w:t xml:space="preserve">6. Indicative Timeline Comparison</w:t>
      </w:r>
    </w:p>
    <w:p>
      <w:pPr>
        <w:pBdr>
          <w:bottom w:val="single" w:color="2E6DA4" w:sz="6" w:space="1"/>
        </w:pBdr>
        <w:spacing w:before="0" w:after="1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000"/>
        <w:gridCol w:w="2660"/>
      </w:tblGrid>
      <w:tr>
        <w:trPr>
          <w:tblHeader/>
        </w:trPr>
        <w:tc>
          <w:tcPr>
            <w:tcW w:type="dxa" w:w="2800"/>
            <w:tcBorders>
              <w:top w:val="single" w:color="0D2B45" w:sz="1"/>
              <w:left w:val="single" w:color="0D2B45" w:sz="1"/>
              <w:bottom w:val="single" w:color="0D2B45" w:sz="1"/>
              <w:right w:val="single" w:color="0D2B45" w:sz="1"/>
            </w:tcBorders>
            <w:shd w:fill="0D2B45"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1900"/>
            <w:tcBorders>
              <w:top w:val="single" w:color="0D2B45" w:sz="1"/>
              <w:left w:val="single" w:color="0D2B45" w:sz="1"/>
              <w:bottom w:val="single" w:color="0D2B45" w:sz="1"/>
              <w:right w:val="single" w:color="0D2B45" w:sz="1"/>
            </w:tcBorders>
            <w:shd w:fill="0D2B45" w:val="clear"/>
            <w:tcMar>
              <w:top w:type="dxa" w:w="80"/>
              <w:left w:type="dxa" w:w="120"/>
              <w:bottom w:type="dxa" w:w="80"/>
              <w:right w:type="dxa" w:w="80"/>
            </w:tcMar>
          </w:tcPr>
          <w:p>
            <w:r>
              <w:rPr>
                <w:rFonts w:ascii="Arial" w:cs="Arial" w:eastAsia="Arial" w:hAnsi="Arial"/>
                <w:b/>
                <w:bCs/>
                <w:color w:val="FFFFFF"/>
                <w:sz w:val="20"/>
                <w:szCs w:val="20"/>
              </w:rPr>
              <w:t xml:space="preserve">Direct + Crypto</w:t>
            </w:r>
          </w:p>
        </w:tc>
        <w:tc>
          <w:tcPr>
            <w:tcW w:type="dxa" w:w="2000"/>
            <w:tcBorders>
              <w:top w:val="single" w:color="0D2B45" w:sz="1"/>
              <w:left w:val="single" w:color="0D2B45" w:sz="1"/>
              <w:bottom w:val="single" w:color="0D2B45" w:sz="1"/>
              <w:right w:val="single" w:color="0D2B45" w:sz="1"/>
            </w:tcBorders>
            <w:shd w:fill="0D2B45" w:val="clear"/>
            <w:tcMar>
              <w:top w:type="dxa" w:w="80"/>
              <w:left w:type="dxa" w:w="120"/>
              <w:bottom w:type="dxa" w:w="80"/>
              <w:right w:type="dxa" w:w="80"/>
            </w:tcMar>
          </w:tcPr>
          <w:p>
            <w:r>
              <w:rPr>
                <w:rFonts w:ascii="Arial" w:cs="Arial" w:eastAsia="Arial" w:hAnsi="Arial"/>
                <w:b/>
                <w:bCs/>
                <w:color w:val="FFFFFF"/>
                <w:sz w:val="20"/>
                <w:szCs w:val="20"/>
              </w:rPr>
              <w:t xml:space="preserve">Delaware + Crypto</w:t>
            </w:r>
          </w:p>
        </w:tc>
        <w:tc>
          <w:tcPr>
            <w:tcW w:type="dxa" w:w="2660"/>
            <w:tcBorders>
              <w:top w:val="single" w:color="0D2B45" w:sz="1"/>
              <w:left w:val="single" w:color="0D2B45" w:sz="1"/>
              <w:bottom w:val="single" w:color="0D2B45" w:sz="1"/>
              <w:right w:val="single" w:color="0D2B45" w:sz="1"/>
            </w:tcBorders>
            <w:shd w:fill="0D2B45" w:val="clear"/>
            <w:tcMar>
              <w:top w:type="dxa" w:w="80"/>
              <w:left w:type="dxa" w:w="120"/>
              <w:bottom w:type="dxa" w:w="80"/>
              <w:right w:type="dxa" w:w="80"/>
            </w:tcMar>
          </w:tcPr>
          <w:p>
            <w:r>
              <w:rPr>
                <w:rFonts w:ascii="Arial" w:cs="Arial" w:eastAsia="Arial" w:hAnsi="Arial"/>
                <w:b/>
                <w:bCs/>
                <w:color w:val="FFFFFF"/>
                <w:sz w:val="20"/>
                <w:szCs w:val="20"/>
              </w:rPr>
              <w:t xml:space="preserve">Luxembourg + Crypto</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bCs/>
                <w:color w:val="1B3A5C"/>
                <w:sz w:val="19"/>
                <w:szCs w:val="19"/>
              </w:rPr>
              <w:t xml:space="preserve">Bank pre-approval</w:t>
            </w:r>
          </w:p>
        </w:tc>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Week 1 (mandatory)</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Week 1 (US bank)</w:t>
            </w:r>
          </w:p>
        </w:tc>
        <w:tc>
          <w:tcPr>
            <w:tcW w:type="dxa" w:w="2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Week 1 (Lux bank — easier)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Entity setup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1–3 days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2–4 weeks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bCs/>
                <w:color w:val="1B3A5C"/>
                <w:sz w:val="19"/>
                <w:szCs w:val="19"/>
              </w:rPr>
              <w:t xml:space="preserve">Blockchain analytics / KYC</w:t>
            </w:r>
          </w:p>
        </w:tc>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6–14 weeks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6–14 weeks</w:t>
            </w:r>
          </w:p>
        </w:tc>
        <w:tc>
          <w:tcPr>
            <w:tcW w:type="dxa" w:w="2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6–12 weeks (experienced admins)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Conversion strategy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2–4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2–4 weeks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2–4 weeks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bCs/>
                <w:color w:val="1B3A5C"/>
                <w:sz w:val="19"/>
                <w:szCs w:val="19"/>
              </w:rPr>
              <w:t xml:space="preserve">Term sheet</w:t>
            </w:r>
          </w:p>
        </w:tc>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2–4 weeks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2–4 weeks</w:t>
            </w:r>
          </w:p>
        </w:tc>
        <w:tc>
          <w:tcPr>
            <w:tcW w:type="dxa" w:w="2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2–4 weeks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SHA / legal drafting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8–14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10–16 weeks (2 layers)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2E"/>
                <w:sz w:val="19"/>
                <w:szCs w:val="19"/>
              </w:rPr>
              <w:t xml:space="preserve">10–16 weeks (2 layers)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bCs/>
                <w:color w:val="1B3A5C"/>
                <w:sz w:val="19"/>
                <w:szCs w:val="19"/>
              </w:rPr>
              <w:t xml:space="preserve">EGM + Bolagsverket</w:t>
            </w:r>
          </w:p>
        </w:tc>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3–6 weeks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3–6 weeks</w:t>
            </w:r>
          </w:p>
        </w:tc>
        <w:tc>
          <w:tcPr>
            <w:tcW w:type="dxa" w:w="2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val="false"/>
                <w:bCs w:val="false"/>
                <w:color w:val="1A1A2E"/>
                <w:sz w:val="19"/>
                <w:szCs w:val="19"/>
              </w:rPr>
              <w:t xml:space="preserve">3–6 weeks</w:t>
            </w:r>
          </w:p>
        </w:tc>
      </w:tr>
      <w:tr>
        <w:trPr>
          <w:tblHeader w:val="false"/>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80"/>
            </w:tcMar>
          </w:tcPr>
          <w:p>
            <w:r>
              <w:rPr>
                <w:rFonts w:ascii="Arial" w:cs="Arial" w:eastAsia="Arial" w:hAnsi="Arial"/>
                <w:b/>
                <w:bCs/>
                <w:color w:val="1B3A5C"/>
                <w:sz w:val="19"/>
                <w:szCs w:val="19"/>
              </w:rPr>
              <w:t xml:space="preserve">TOTAL</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80"/>
            </w:tcMar>
          </w:tcPr>
          <w:p>
            <w:r>
              <w:rPr>
                <w:rFonts w:ascii="Arial" w:cs="Arial" w:eastAsia="Arial" w:hAnsi="Arial"/>
                <w:b/>
                <w:bCs/>
                <w:color w:val="1B3A5C"/>
                <w:sz w:val="19"/>
                <w:szCs w:val="19"/>
              </w:rPr>
              <w:t xml:space="preserve">6–12 months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80"/>
            </w:tcMar>
          </w:tcPr>
          <w:p>
            <w:r>
              <w:rPr>
                <w:rFonts w:ascii="Arial" w:cs="Arial" w:eastAsia="Arial" w:hAnsi="Arial"/>
                <w:b/>
                <w:bCs/>
                <w:color w:val="1B3A5C"/>
                <w:sz w:val="19"/>
                <w:szCs w:val="19"/>
              </w:rPr>
              <w:t xml:space="preserve">7–14 months</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80"/>
            </w:tcMar>
          </w:tcPr>
          <w:p>
            <w:r>
              <w:rPr>
                <w:rFonts w:ascii="Arial" w:cs="Arial" w:eastAsia="Arial" w:hAnsi="Arial"/>
                <w:b/>
                <w:bCs/>
                <w:color w:val="1B3A5C"/>
                <w:sz w:val="19"/>
                <w:szCs w:val="19"/>
              </w:rPr>
              <w:t xml:space="preserve">8–15 months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D4A017" w:sz="16"/>
              <w:bottom w:val="single" w:color="DDDDDD" w:sz="1"/>
              <w:right w:val="single" w:color="DDDDDD" w:sz="1"/>
            </w:tcBorders>
            <w:shd w:fill="FFF3CD" w:val="clear"/>
            <w:tcMar>
              <w:top w:type="dxa" w:w="120"/>
              <w:left w:type="dxa" w:w="200"/>
              <w:bottom w:type="dxa" w:w="120"/>
              <w:right w:type="dxa" w:w="160"/>
            </w:tcMar>
          </w:tcPr>
          <w:p>
            <w:pPr>
              <w:spacing w:before="0" w:after="40"/>
            </w:pPr>
            <w:r>
              <w:rPr>
                <w:rFonts w:ascii="Arial" w:cs="Arial" w:eastAsia="Arial" w:hAnsi="Arial"/>
                <w:b/>
                <w:bCs/>
                <w:color w:val="1B3A5C"/>
                <w:sz w:val="20"/>
                <w:szCs w:val="20"/>
              </w:rPr>
              <w:t xml:space="preserve">Note on Parallel Processing</w:t>
            </w:r>
          </w:p>
          <w:p>
            <w:pPr>
              <w:spacing w:before="0" w:after="0"/>
            </w:pPr>
            <w:r>
              <w:rPr>
                <w:rFonts w:ascii="Arial" w:cs="Arial" w:eastAsia="Arial" w:hAnsi="Arial"/>
                <w:color w:val="1A1A2E"/>
                <w:sz w:val="19"/>
                <w:szCs w:val="19"/>
              </w:rPr>
              <w:t xml:space="preserve">All three approaches benefit significantly from running KYC/AML, bank pre-approval, conversion strategy, and legal drafting simultaneously. The timelines above assume parallel execution. Sequential execution would add 3–6 months to all scenarios.</w:t>
            </w:r>
          </w:p>
        </w:tc>
      </w:tr>
    </w:tbl>
    <w:p>
      <w:pPr>
        <w:spacing w:before="200" w:after="0"/>
      </w:pPr>
    </w:p>
    <w:p>
      <w:r>
        <w:br w:type="page"/>
      </w:r>
    </w:p>
    <w:p>
      <w:pPr>
        <w:pStyle w:val="Heading1"/>
        <w:spacing w:before="360" w:after="80"/>
      </w:pPr>
      <w:r>
        <w:rPr>
          <w:rFonts w:ascii="Arial" w:cs="Arial" w:eastAsia="Arial" w:hAnsi="Arial"/>
          <w:b/>
          <w:bCs/>
          <w:color w:val="0D2B45"/>
          <w:sz w:val="30"/>
          <w:szCs w:val="30"/>
        </w:rPr>
        <w:t xml:space="preserve">7. Decision Matrix — Which Structure for Which Scenario</w:t>
      </w:r>
    </w:p>
    <w:p>
      <w:pPr>
        <w:pBdr>
          <w:bottom w:val="single" w:color="2E6DA4" w:sz="6" w:space="1"/>
        </w:pBdr>
        <w:spacing w:before="0" w:after="180"/>
      </w:pPr>
    </w:p>
    <w:p>
      <w:pPr>
        <w:spacing w:before="60" w:after="60"/>
      </w:pPr>
      <w:r>
        <w:rPr>
          <w:rFonts w:ascii="Arial" w:cs="Arial" w:eastAsia="Arial" w:hAnsi="Arial"/>
          <w:color w:val="555577"/>
          <w:sz w:val="18"/>
          <w:szCs w:val="18"/>
        </w:rPr>
        <w:t xml:space="preserve">✓✓✓ = Optimal   ✓✓ = Good   ✓ = Acceptable   ✗ = Not recommended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960"/>
      </w:tblGrid>
      <w:tr>
        <w:trPr>
          <w:tblHeader/>
        </w:trPr>
        <w:tc>
          <w:tcPr>
            <w:tcW w:type="dxa" w:w="420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80"/>
            </w:tcMar>
            <w:vAlign w:val="center"/>
          </w:tcPr>
          <w:p>
            <w:pPr>
              <w:jc w:val="left"/>
            </w:pPr>
            <w:r>
              <w:rPr>
                <w:rFonts w:ascii="Arial" w:cs="Arial" w:eastAsia="Arial" w:hAnsi="Arial"/>
                <w:b/>
                <w:bCs/>
                <w:color w:val="FFFFFF"/>
                <w:sz w:val="20"/>
                <w:szCs w:val="20"/>
              </w:rPr>
              <w:t xml:space="preserve">Scenario</w:t>
            </w:r>
          </w:p>
        </w:tc>
        <w:tc>
          <w:tcPr>
            <w:tcW w:type="dxa" w:w="1600"/>
            <w:tcBorders>
              <w:top w:val="single" w:color="0D2B45" w:sz="1"/>
              <w:left w:val="single" w:color="0D2B45" w:sz="1"/>
              <w:bottom w:val="single" w:color="0D2B45" w:sz="1"/>
              <w:right w:val="single" w:color="0D2B45" w:sz="1"/>
            </w:tcBorders>
            <w:shd w:fill="0D2B45" w:val="clear"/>
            <w:tcMar>
              <w:top w:type="dxa" w:w="80"/>
              <w:left w:type="dxa" w:w="80"/>
              <w:bottom w:type="dxa" w:w="80"/>
              <w:right w:type="dxa" w:w="80"/>
            </w:tcMar>
            <w:vAlign w:val="center"/>
          </w:tcPr>
          <w:p>
            <w:pPr>
              <w:jc w:val="left"/>
            </w:pPr>
            <w:r>
              <w:rPr>
                <w:rFonts w:ascii="Arial" w:cs="Arial" w:eastAsia="Arial" w:hAnsi="Arial"/>
                <w:b/>
                <w:bCs/>
                <w:color w:val="FFFFFF"/>
                <w:sz w:val="20"/>
                <w:szCs w:val="20"/>
              </w:rPr>
              <w:t xml:space="preserve">Direct</w:t>
            </w:r>
          </w:p>
        </w:tc>
        <w:tc>
          <w:tcPr>
            <w:tcW w:type="dxa" w:w="1600"/>
            <w:tcBorders>
              <w:top w:val="single" w:color="0D2B45" w:sz="1"/>
              <w:left w:val="single" w:color="0D2B45" w:sz="1"/>
              <w:bottom w:val="single" w:color="0D2B45" w:sz="1"/>
              <w:right w:val="single" w:color="0D2B45" w:sz="1"/>
            </w:tcBorders>
            <w:shd w:fill="0D2B45" w:val="clear"/>
            <w:tcMar>
              <w:top w:type="dxa" w:w="80"/>
              <w:left w:type="dxa" w:w="80"/>
              <w:bottom w:type="dxa" w:w="80"/>
              <w:right w:type="dxa" w:w="80"/>
            </w:tcMar>
            <w:vAlign w:val="center"/>
          </w:tcPr>
          <w:p>
            <w:pPr>
              <w:jc w:val="left"/>
            </w:pPr>
            <w:r>
              <w:rPr>
                <w:rFonts w:ascii="Arial" w:cs="Arial" w:eastAsia="Arial" w:hAnsi="Arial"/>
                <w:b/>
                <w:bCs/>
                <w:color w:val="FFFFFF"/>
                <w:sz w:val="20"/>
                <w:szCs w:val="20"/>
              </w:rPr>
              <w:t xml:space="preserve">Delaware</w:t>
            </w:r>
          </w:p>
        </w:tc>
        <w:tc>
          <w:tcPr>
            <w:tcW w:type="dxa" w:w="1960"/>
            <w:tcBorders>
              <w:top w:val="single" w:color="0D2B45" w:sz="1"/>
              <w:left w:val="single" w:color="0D2B45" w:sz="1"/>
              <w:bottom w:val="single" w:color="0D2B45" w:sz="1"/>
              <w:right w:val="single" w:color="0D2B45" w:sz="1"/>
            </w:tcBorders>
            <w:shd w:fill="0D2B45" w:val="clear"/>
            <w:tcMar>
              <w:top w:type="dxa" w:w="80"/>
              <w:left w:type="dxa" w:w="80"/>
              <w:bottom w:type="dxa" w:w="80"/>
              <w:right w:type="dxa" w:w="80"/>
            </w:tcMar>
            <w:vAlign w:val="center"/>
          </w:tcPr>
          <w:p>
            <w:pPr>
              <w:jc w:val="left"/>
            </w:pPr>
            <w:r>
              <w:rPr>
                <w:rFonts w:ascii="Arial" w:cs="Arial" w:eastAsia="Arial" w:hAnsi="Arial"/>
                <w:b/>
                <w:bCs/>
                <w:color w:val="FFFFFF"/>
                <w:sz w:val="20"/>
                <w:szCs w:val="20"/>
              </w:rPr>
              <w:t xml:space="preserve">Luxembourg</w:t>
            </w:r>
          </w:p>
        </w:tc>
      </w:tr>
      <w:tr>
        <w:trPr>
          <w:tblHeader w:val="false"/>
        </w:trPr>
        <w:tc>
          <w:tcPr>
            <w:tcW w:type="dxa" w:w="42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Majority of investors are US-based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555577"/>
                <w:sz w:val="19"/>
                <w:szCs w:val="19"/>
              </w:rPr>
              <w:t xml:space="preserve">✓</w:t>
            </w:r>
          </w:p>
        </w:tc>
        <w:tc>
          <w:tcPr>
            <w:tcW w:type="dxa" w:w="16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c>
          <w:tcPr>
            <w:tcW w:type="dxa" w:w="1960"/>
            <w:tcBorders>
              <w:top w:val="single" w:color="CCCCCC" w:sz="1"/>
              <w:left w:val="single" w:color="CCCCCC" w:sz="1"/>
              <w:bottom w:val="single" w:color="CCCCCC" w:sz="1"/>
              <w:right w:val="single" w:color="CCCCCC" w:sz="1"/>
            </w:tcBorders>
            <w:shd w:fill="EBF4FB" w:val="clear"/>
            <w:tcMar>
              <w:top w:type="dxa" w:w="80"/>
              <w:left w:type="dxa" w:w="80"/>
              <w:bottom w:type="dxa" w:w="80"/>
              <w:right w:type="dxa" w:w="80"/>
            </w:tcMar>
            <w:vAlign w:val="center"/>
          </w:tcPr>
          <w:p>
            <w:pPr>
              <w:jc w:val="center"/>
            </w:pPr>
            <w:r>
              <w:rPr>
                <w:rFonts w:ascii="Arial" w:cs="Arial" w:eastAsia="Arial" w:hAnsi="Arial"/>
                <w:b w:val="false"/>
                <w:bCs w:val="false"/>
                <w:color w:val="2E6DA4"/>
                <w:sz w:val="19"/>
                <w:szCs w:val="19"/>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Majority of investors are EU/non-US</w:t>
            </w:r>
          </w:p>
        </w:tc>
        <w:tc>
          <w:tcPr>
            <w:tcW w:type="dxa" w:w="1600"/>
            <w:tcBorders>
              <w:top w:val="single" w:color="CCCCCC" w:sz="1"/>
              <w:left w:val="single" w:color="CCCCCC" w:sz="1"/>
              <w:bottom w:val="single" w:color="CCCCCC" w:sz="1"/>
              <w:right w:val="single" w:color="CCCCCC" w:sz="1"/>
            </w:tcBorders>
            <w:shd w:fill="EBF4FB" w:val="clear"/>
            <w:tcMar>
              <w:top w:type="dxa" w:w="80"/>
              <w:left w:type="dxa" w:w="80"/>
              <w:bottom w:type="dxa" w:w="80"/>
              <w:right w:type="dxa" w:w="80"/>
            </w:tcMar>
            <w:vAlign w:val="center"/>
          </w:tcPr>
          <w:p>
            <w:pPr>
              <w:jc w:val="center"/>
            </w:pPr>
            <w:r>
              <w:rPr>
                <w:rFonts w:ascii="Arial" w:cs="Arial" w:eastAsia="Arial" w:hAnsi="Arial"/>
                <w:b w:val="false"/>
                <w:bCs w:val="false"/>
                <w:color w:val="2E6DA4"/>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555577"/>
                <w:sz w:val="19"/>
                <w:szCs w:val="19"/>
              </w:rPr>
              <w:t xml:space="preserve">✓</w:t>
            </w:r>
          </w:p>
        </w:tc>
        <w:tc>
          <w:tcPr>
            <w:tcW w:type="dxa" w:w="196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Majority of investors are crypto-native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555577"/>
                <w:sz w:val="19"/>
                <w:szCs w:val="19"/>
              </w:rPr>
              <w:t xml:space="preserve">✓</w:t>
            </w:r>
          </w:p>
        </w:tc>
        <w:tc>
          <w:tcPr>
            <w:tcW w:type="dxa" w:w="1600"/>
            <w:tcBorders>
              <w:top w:val="single" w:color="CCCCCC" w:sz="1"/>
              <w:left w:val="single" w:color="CCCCCC" w:sz="1"/>
              <w:bottom w:val="single" w:color="CCCCCC" w:sz="1"/>
              <w:right w:val="single" w:color="CCCCCC" w:sz="1"/>
            </w:tcBorders>
            <w:shd w:fill="EBF4FB" w:val="clear"/>
            <w:tcMar>
              <w:top w:type="dxa" w:w="80"/>
              <w:left w:type="dxa" w:w="80"/>
              <w:bottom w:type="dxa" w:w="80"/>
              <w:right w:type="dxa" w:w="80"/>
            </w:tcMar>
            <w:vAlign w:val="center"/>
          </w:tcPr>
          <w:p>
            <w:pPr>
              <w:jc w:val="center"/>
            </w:pPr>
            <w:r>
              <w:rPr>
                <w:rFonts w:ascii="Arial" w:cs="Arial" w:eastAsia="Arial" w:hAnsi="Arial"/>
                <w:b w:val="false"/>
                <w:bCs w:val="false"/>
                <w:color w:val="2E6DA4"/>
                <w:sz w:val="19"/>
                <w:szCs w:val="19"/>
              </w:rPr>
              <w:t xml:space="preserve">✓✓</w:t>
            </w:r>
          </w:p>
        </w:tc>
        <w:tc>
          <w:tcPr>
            <w:tcW w:type="dxa" w:w="196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Investors want tax-efficient dividends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555577"/>
                <w:sz w:val="19"/>
                <w:szCs w:val="19"/>
              </w:rPr>
              <w:t xml:space="preserve">✓</w:t>
            </w:r>
          </w:p>
        </w:tc>
        <w:tc>
          <w:tcPr>
            <w:tcW w:type="dxa" w:w="1600"/>
            <w:tcBorders>
              <w:top w:val="single" w:color="CCCCCC" w:sz="1"/>
              <w:left w:val="single" w:color="CCCCCC" w:sz="1"/>
              <w:bottom w:val="single" w:color="CCCCCC" w:sz="1"/>
              <w:right w:val="single" w:color="CCCCCC" w:sz="1"/>
            </w:tcBorders>
            <w:shd w:fill="EBF4FB" w:val="clear"/>
            <w:tcMar>
              <w:top w:type="dxa" w:w="80"/>
              <w:left w:type="dxa" w:w="80"/>
              <w:bottom w:type="dxa" w:w="80"/>
              <w:right w:type="dxa" w:w="80"/>
            </w:tcMar>
            <w:vAlign w:val="center"/>
          </w:tcPr>
          <w:p>
            <w:pPr>
              <w:jc w:val="center"/>
            </w:pPr>
            <w:r>
              <w:rPr>
                <w:rFonts w:ascii="Arial" w:cs="Arial" w:eastAsia="Arial" w:hAnsi="Arial"/>
                <w:b w:val="false"/>
                <w:bCs w:val="false"/>
                <w:color w:val="2E6DA4"/>
                <w:sz w:val="19"/>
                <w:szCs w:val="19"/>
              </w:rPr>
              <w:t xml:space="preserve">✓✓</w:t>
            </w:r>
          </w:p>
        </w:tc>
        <w:tc>
          <w:tcPr>
            <w:tcW w:type="dxa" w:w="196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Capital gains exemption on exit is priority</w:t>
            </w:r>
          </w:p>
        </w:tc>
        <w:tc>
          <w:tcPr>
            <w:tcW w:type="dxa" w:w="16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val="false"/>
                <w:bCs w:val="false"/>
                <w:color w:val="C0392B"/>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555577"/>
                <w:sz w:val="19"/>
                <w:szCs w:val="19"/>
              </w:rPr>
              <w:t xml:space="preserve">✓</w:t>
            </w:r>
          </w:p>
        </w:tc>
        <w:tc>
          <w:tcPr>
            <w:tcW w:type="dxa" w:w="196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Speed of setup is critical</w:t>
            </w:r>
          </w:p>
        </w:tc>
        <w:tc>
          <w:tcPr>
            <w:tcW w:type="dxa" w:w="16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c>
          <w:tcPr>
            <w:tcW w:type="dxa" w:w="16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c>
          <w:tcPr>
            <w:tcW w:type="dxa" w:w="1960"/>
            <w:tcBorders>
              <w:top w:val="single" w:color="CCCCCC" w:sz="1"/>
              <w:left w:val="single" w:color="CCCCCC" w:sz="1"/>
              <w:bottom w:val="single" w:color="CCCCCC" w:sz="1"/>
              <w:right w:val="single" w:color="CCCCCC" w:sz="1"/>
            </w:tcBorders>
            <w:shd w:fill="EBF4FB" w:val="clear"/>
            <w:tcMar>
              <w:top w:type="dxa" w:w="80"/>
              <w:left w:type="dxa" w:w="80"/>
              <w:bottom w:type="dxa" w:w="80"/>
              <w:right w:type="dxa" w:w="80"/>
            </w:tcMar>
            <w:vAlign w:val="center"/>
          </w:tcPr>
          <w:p>
            <w:pPr>
              <w:jc w:val="center"/>
            </w:pPr>
            <w:r>
              <w:rPr>
                <w:rFonts w:ascii="Arial" w:cs="Arial" w:eastAsia="Arial" w:hAnsi="Arial"/>
                <w:b w:val="false"/>
                <w:bCs w:val="false"/>
                <w:color w:val="2E6DA4"/>
                <w:sz w:val="19"/>
                <w:szCs w:val="19"/>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Minimising annual running cost</w:t>
            </w:r>
          </w:p>
        </w:tc>
        <w:tc>
          <w:tcPr>
            <w:tcW w:type="dxa" w:w="16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c>
          <w:tcPr>
            <w:tcW w:type="dxa" w:w="1600"/>
            <w:tcBorders>
              <w:top w:val="single" w:color="CCCCCC" w:sz="1"/>
              <w:left w:val="single" w:color="CCCCCC" w:sz="1"/>
              <w:bottom w:val="single" w:color="CCCCCC" w:sz="1"/>
              <w:right w:val="single" w:color="CCCCCC" w:sz="1"/>
            </w:tcBorders>
            <w:shd w:fill="EBF4FB" w:val="clear"/>
            <w:tcMar>
              <w:top w:type="dxa" w:w="80"/>
              <w:left w:type="dxa" w:w="80"/>
              <w:bottom w:type="dxa" w:w="80"/>
              <w:right w:type="dxa" w:w="80"/>
            </w:tcMar>
            <w:vAlign w:val="center"/>
          </w:tcPr>
          <w:p>
            <w:pPr>
              <w:jc w:val="center"/>
            </w:pPr>
            <w:r>
              <w:rPr>
                <w:rFonts w:ascii="Arial" w:cs="Arial" w:eastAsia="Arial" w:hAnsi="Arial"/>
                <w:b w:val="false"/>
                <w:bCs w:val="false"/>
                <w:color w:val="2E6DA4"/>
                <w:sz w:val="19"/>
                <w:szCs w:val="19"/>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555577"/>
                <w:sz w:val="19"/>
                <w:szCs w:val="19"/>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Institutional / fund investors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555577"/>
                <w:sz w:val="19"/>
                <w:szCs w:val="19"/>
              </w:rPr>
              <w:t xml:space="preserve">✓</w:t>
            </w:r>
          </w:p>
        </w:tc>
        <w:tc>
          <w:tcPr>
            <w:tcW w:type="dxa" w:w="1600"/>
            <w:tcBorders>
              <w:top w:val="single" w:color="CCCCCC" w:sz="1"/>
              <w:left w:val="single" w:color="CCCCCC" w:sz="1"/>
              <w:bottom w:val="single" w:color="CCCCCC" w:sz="1"/>
              <w:right w:val="single" w:color="CCCCCC" w:sz="1"/>
            </w:tcBorders>
            <w:shd w:fill="EBF4FB" w:val="clear"/>
            <w:tcMar>
              <w:top w:type="dxa" w:w="80"/>
              <w:left w:type="dxa" w:w="80"/>
              <w:bottom w:type="dxa" w:w="80"/>
              <w:right w:type="dxa" w:w="80"/>
            </w:tcMar>
            <w:vAlign w:val="center"/>
          </w:tcPr>
          <w:p>
            <w:pPr>
              <w:jc w:val="center"/>
            </w:pPr>
            <w:r>
              <w:rPr>
                <w:rFonts w:ascii="Arial" w:cs="Arial" w:eastAsia="Arial" w:hAnsi="Arial"/>
                <w:b w:val="false"/>
                <w:bCs w:val="false"/>
                <w:color w:val="2E6DA4"/>
                <w:sz w:val="19"/>
                <w:szCs w:val="19"/>
              </w:rPr>
              <w:t xml:space="preserve">✓✓</w:t>
            </w:r>
          </w:p>
        </w:tc>
        <w:tc>
          <w:tcPr>
            <w:tcW w:type="dxa" w:w="196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Swedish bank relationship must stay clean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555577"/>
                <w:sz w:val="19"/>
                <w:szCs w:val="19"/>
              </w:rPr>
              <w:t xml:space="preserve">✓</w:t>
            </w:r>
          </w:p>
        </w:tc>
        <w:tc>
          <w:tcPr>
            <w:tcW w:type="dxa" w:w="1600"/>
            <w:tcBorders>
              <w:top w:val="single" w:color="CCCCCC" w:sz="1"/>
              <w:left w:val="single" w:color="CCCCCC" w:sz="1"/>
              <w:bottom w:val="single" w:color="CCCCCC" w:sz="1"/>
              <w:right w:val="single" w:color="CCCCCC" w:sz="1"/>
            </w:tcBorders>
            <w:shd w:fill="EBF4FB" w:val="clear"/>
            <w:tcMar>
              <w:top w:type="dxa" w:w="80"/>
              <w:left w:type="dxa" w:w="80"/>
              <w:bottom w:type="dxa" w:w="80"/>
              <w:right w:type="dxa" w:w="80"/>
            </w:tcMar>
            <w:vAlign w:val="center"/>
          </w:tcPr>
          <w:p>
            <w:pPr>
              <w:jc w:val="center"/>
            </w:pPr>
            <w:r>
              <w:rPr>
                <w:rFonts w:ascii="Arial" w:cs="Arial" w:eastAsia="Arial" w:hAnsi="Arial"/>
                <w:b w:val="false"/>
                <w:bCs w:val="false"/>
                <w:color w:val="2E6DA4"/>
                <w:sz w:val="19"/>
                <w:szCs w:val="19"/>
              </w:rPr>
              <w:t xml:space="preserve">✓✓</w:t>
            </w:r>
          </w:p>
        </w:tc>
        <w:tc>
          <w:tcPr>
            <w:tcW w:type="dxa" w:w="196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Round &lt; €5M (cost-benefit of structure)</w:t>
            </w:r>
          </w:p>
        </w:tc>
        <w:tc>
          <w:tcPr>
            <w:tcW w:type="dxa" w:w="16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c>
          <w:tcPr>
            <w:tcW w:type="dxa" w:w="1600"/>
            <w:tcBorders>
              <w:top w:val="single" w:color="CCCCCC" w:sz="1"/>
              <w:left w:val="single" w:color="CCCCCC" w:sz="1"/>
              <w:bottom w:val="single" w:color="CCCCCC" w:sz="1"/>
              <w:right w:val="single" w:color="CCCCCC" w:sz="1"/>
            </w:tcBorders>
            <w:shd w:fill="EBF4FB" w:val="clear"/>
            <w:tcMar>
              <w:top w:type="dxa" w:w="80"/>
              <w:left w:type="dxa" w:w="80"/>
              <w:bottom w:type="dxa" w:w="80"/>
              <w:right w:type="dxa" w:w="80"/>
            </w:tcMar>
            <w:vAlign w:val="center"/>
          </w:tcPr>
          <w:p>
            <w:pPr>
              <w:jc w:val="center"/>
            </w:pPr>
            <w:r>
              <w:rPr>
                <w:rFonts w:ascii="Arial" w:cs="Arial" w:eastAsia="Arial" w:hAnsi="Arial"/>
                <w:b w:val="false"/>
                <w:bCs w:val="false"/>
                <w:color w:val="2E6DA4"/>
                <w:sz w:val="19"/>
                <w:szCs w:val="19"/>
              </w:rPr>
              <w:t xml:space="preserve">✓✓</w:t>
            </w:r>
          </w:p>
        </w:tc>
        <w:tc>
          <w:tcPr>
            <w:tcW w:type="dxa" w:w="196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val="false"/>
                <w:bCs w:val="false"/>
                <w:color w:val="C0392B"/>
                <w:sz w:val="19"/>
                <w:szCs w:val="19"/>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Round &gt; €20M (tax savings justify cost)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555577"/>
                <w:sz w:val="19"/>
                <w:szCs w:val="19"/>
              </w:rPr>
              <w:t xml:space="preserve">✓</w:t>
            </w:r>
          </w:p>
        </w:tc>
        <w:tc>
          <w:tcPr>
            <w:tcW w:type="dxa" w:w="1600"/>
            <w:tcBorders>
              <w:top w:val="single" w:color="CCCCCC" w:sz="1"/>
              <w:left w:val="single" w:color="CCCCCC" w:sz="1"/>
              <w:bottom w:val="single" w:color="CCCCCC" w:sz="1"/>
              <w:right w:val="single" w:color="CCCCCC" w:sz="1"/>
            </w:tcBorders>
            <w:shd w:fill="EBF4FB" w:val="clear"/>
            <w:tcMar>
              <w:top w:type="dxa" w:w="80"/>
              <w:left w:type="dxa" w:w="80"/>
              <w:bottom w:type="dxa" w:w="80"/>
              <w:right w:type="dxa" w:w="80"/>
            </w:tcMar>
            <w:vAlign w:val="center"/>
          </w:tcPr>
          <w:p>
            <w:pPr>
              <w:jc w:val="center"/>
            </w:pPr>
            <w:r>
              <w:rPr>
                <w:rFonts w:ascii="Arial" w:cs="Arial" w:eastAsia="Arial" w:hAnsi="Arial"/>
                <w:b w:val="false"/>
                <w:bCs w:val="false"/>
                <w:color w:val="2E6DA4"/>
                <w:sz w:val="19"/>
                <w:szCs w:val="19"/>
              </w:rPr>
              <w:t xml:space="preserve">✓✓</w:t>
            </w:r>
          </w:p>
        </w:tc>
        <w:tc>
          <w:tcPr>
            <w:tcW w:type="dxa" w:w="196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Exit to US strategic buyer anticipated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555577"/>
                <w:sz w:val="19"/>
                <w:szCs w:val="19"/>
              </w:rPr>
              <w:t xml:space="preserve">✓</w:t>
            </w:r>
          </w:p>
        </w:tc>
        <w:tc>
          <w:tcPr>
            <w:tcW w:type="dxa" w:w="16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c>
          <w:tcPr>
            <w:tcW w:type="dxa" w:w="1960"/>
            <w:tcBorders>
              <w:top w:val="single" w:color="CCCCCC" w:sz="1"/>
              <w:left w:val="single" w:color="CCCCCC" w:sz="1"/>
              <w:bottom w:val="single" w:color="CCCCCC" w:sz="1"/>
              <w:right w:val="single" w:color="CCCCCC" w:sz="1"/>
            </w:tcBorders>
            <w:shd w:fill="EBF4FB" w:val="clear"/>
            <w:tcMar>
              <w:top w:type="dxa" w:w="80"/>
              <w:left w:type="dxa" w:w="80"/>
              <w:bottom w:type="dxa" w:w="80"/>
              <w:right w:type="dxa" w:w="80"/>
            </w:tcMar>
            <w:vAlign w:val="center"/>
          </w:tcPr>
          <w:p>
            <w:pPr>
              <w:jc w:val="center"/>
            </w:pPr>
            <w:r>
              <w:rPr>
                <w:rFonts w:ascii="Arial" w:cs="Arial" w:eastAsia="Arial" w:hAnsi="Arial"/>
                <w:b w:val="false"/>
                <w:bCs w:val="false"/>
                <w:color w:val="2E6DA4"/>
                <w:sz w:val="19"/>
                <w:szCs w:val="19"/>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Exit to EU strategic buyer anticipated</w:t>
            </w:r>
          </w:p>
        </w:tc>
        <w:tc>
          <w:tcPr>
            <w:tcW w:type="dxa" w:w="1600"/>
            <w:tcBorders>
              <w:top w:val="single" w:color="CCCCCC" w:sz="1"/>
              <w:left w:val="single" w:color="CCCCCC" w:sz="1"/>
              <w:bottom w:val="single" w:color="CCCCCC" w:sz="1"/>
              <w:right w:val="single" w:color="CCCCCC" w:sz="1"/>
            </w:tcBorders>
            <w:shd w:fill="EBF4FB" w:val="clear"/>
            <w:tcMar>
              <w:top w:type="dxa" w:w="80"/>
              <w:left w:type="dxa" w:w="80"/>
              <w:bottom w:type="dxa" w:w="80"/>
              <w:right w:type="dxa" w:w="80"/>
            </w:tcMar>
            <w:vAlign w:val="center"/>
          </w:tcPr>
          <w:p>
            <w:pPr>
              <w:jc w:val="center"/>
            </w:pPr>
            <w:r>
              <w:rPr>
                <w:rFonts w:ascii="Arial" w:cs="Arial" w:eastAsia="Arial" w:hAnsi="Arial"/>
                <w:b w:val="false"/>
                <w:bCs w:val="false"/>
                <w:color w:val="2E6DA4"/>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555577"/>
                <w:sz w:val="19"/>
                <w:szCs w:val="19"/>
              </w:rPr>
              <w:t xml:space="preserve">✓</w:t>
            </w:r>
          </w:p>
        </w:tc>
        <w:tc>
          <w:tcPr>
            <w:tcW w:type="dxa" w:w="196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pPr>
              <w:jc w:val="left"/>
            </w:pPr>
            <w:r>
              <w:rPr>
                <w:rFonts w:ascii="Arial" w:cs="Arial" w:eastAsia="Arial" w:hAnsi="Arial"/>
                <w:b/>
                <w:bCs/>
                <w:color w:val="1B3A5C"/>
                <w:sz w:val="19"/>
                <w:szCs w:val="19"/>
              </w:rPr>
              <w:t xml:space="preserve">IPO on EU exchange anticipated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555577"/>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555577"/>
                <w:sz w:val="19"/>
                <w:szCs w:val="19"/>
              </w:rPr>
              <w:t xml:space="preserve">✓</w:t>
            </w:r>
          </w:p>
        </w:tc>
        <w:tc>
          <w:tcPr>
            <w:tcW w:type="dxa" w:w="196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val="false"/>
                <w:bCs w:val="false"/>
                <w:color w:val="1A6B3C"/>
                <w:sz w:val="19"/>
                <w:szCs w:val="19"/>
              </w:rPr>
              <w:t xml:space="preserve">✓✓✓</w:t>
            </w:r>
          </w:p>
        </w:tc>
      </w:tr>
    </w:tbl>
    <w:p>
      <w:pPr>
        <w:spacing w:before="200" w:after="0"/>
      </w:pPr>
    </w:p>
    <w:p>
      <w:pPr>
        <w:pStyle w:val="Heading1"/>
        <w:spacing w:before="360" w:after="80"/>
      </w:pPr>
      <w:r>
        <w:rPr>
          <w:rFonts w:ascii="Arial" w:cs="Arial" w:eastAsia="Arial" w:hAnsi="Arial"/>
          <w:b/>
          <w:bCs/>
          <w:color w:val="0D2B45"/>
          <w:sz w:val="30"/>
          <w:szCs w:val="30"/>
        </w:rPr>
        <w:t xml:space="preserve">8. Recommendation</w:t>
      </w:r>
    </w:p>
    <w:p>
      <w:pPr>
        <w:pBdr>
          <w:bottom w:val="single" w:color="2E6DA4" w:sz="6" w:space="1"/>
        </w:pBdr>
        <w:spacing w:before="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thick" w:color="1A6B3C" w:sz="24"/>
              <w:bottom w:val="single" w:color="28A745" w:sz="2"/>
              <w:right w:val="single" w:color="28A745" w:sz="2"/>
            </w:tcBorders>
            <w:shd w:fill="D4EDDA" w:val="clear"/>
            <w:tcMar>
              <w:top w:type="dxa" w:w="180"/>
              <w:left w:type="dxa" w:w="240"/>
              <w:bottom w:type="dxa" w:w="180"/>
              <w:right w:type="dxa" w:w="200"/>
            </w:tcMar>
          </w:tcPr>
          <w:p>
            <w:pPr>
              <w:spacing w:before="0" w:after="80"/>
            </w:pPr>
            <w:r>
              <w:rPr>
                <w:rFonts w:ascii="Arial" w:cs="Arial" w:eastAsia="Arial" w:hAnsi="Arial"/>
                <w:b/>
                <w:bCs/>
                <w:color w:val="0D2B45"/>
                <w:sz w:val="21"/>
                <w:szCs w:val="21"/>
              </w:rPr>
              <w:t xml:space="preserve">For this specific scenario (international non-US investors, crypto-origin funds, established Swedish AB, €10M round):</w:t>
            </w:r>
          </w:p>
          <w:p>
            <w:pPr>
              <w:spacing w:before="0" w:after="80"/>
            </w:pPr>
            <w:r>
              <w:rPr>
                <w:rFonts w:ascii="Arial" w:cs="Arial" w:eastAsia="Arial" w:hAnsi="Arial"/>
                <w:b/>
                <w:bCs/>
                <w:color w:val="1A6B3C"/>
                <w:sz w:val="22"/>
                <w:szCs w:val="22"/>
              </w:rPr>
              <w:t xml:space="preserve">Primary recommendation: Luxembourg SOPARFI (S.à r.l.)</w:t>
            </w:r>
          </w:p>
          <w:p>
            <w:pPr>
              <w:pStyle w:val="ListParagraph"/>
              <w:numPr>
                <w:ilvl w:val="0"/>
                <w:numId w:val="2"/>
              </w:numPr>
              <w:spacing w:before="40" w:after="40"/>
            </w:pPr>
            <w:r>
              <w:rPr>
                <w:rFonts w:ascii="Arial" w:cs="Arial" w:eastAsia="Arial" w:hAnsi="Arial"/>
                <w:color w:val="1A1A2E"/>
                <w:sz w:val="20"/>
                <w:szCs w:val="20"/>
              </w:rPr>
              <w:t xml:space="preserve">0% Swedish withholding tax on dividends via the EU Parent-Subsidiary Directive</w:t>
            </w:r>
          </w:p>
          <w:p>
            <w:pPr>
              <w:pStyle w:val="ListParagraph"/>
              <w:numPr>
                <w:ilvl w:val="0"/>
                <w:numId w:val="2"/>
              </w:numPr>
              <w:spacing w:before="40" w:after="40"/>
            </w:pPr>
            <w:r>
              <w:rPr>
                <w:rFonts w:ascii="Arial" w:cs="Arial" w:eastAsia="Arial" w:hAnsi="Arial"/>
                <w:color w:val="1A1A2E"/>
                <w:sz w:val="20"/>
                <w:szCs w:val="20"/>
              </w:rPr>
              <w:t xml:space="preserve">Capital gains exemption on exit via the Luxembourg participation exemption</w:t>
            </w:r>
          </w:p>
          <w:p>
            <w:pPr>
              <w:pStyle w:val="ListParagraph"/>
              <w:numPr>
                <w:ilvl w:val="0"/>
                <w:numId w:val="2"/>
              </w:numPr>
              <w:spacing w:before="40" w:after="40"/>
            </w:pPr>
            <w:r>
              <w:rPr>
                <w:rFonts w:ascii="Arial" w:cs="Arial" w:eastAsia="Arial" w:hAnsi="Arial"/>
                <w:color w:val="1A1A2E"/>
                <w:sz w:val="20"/>
                <w:szCs w:val="20"/>
              </w:rPr>
              <w:t xml:space="preserve">EU-regulated entity — Swedish bank receives a familiar, trusted EUR wire</w:t>
            </w:r>
          </w:p>
          <w:p>
            <w:pPr>
              <w:pStyle w:val="ListParagraph"/>
              <w:numPr>
                <w:ilvl w:val="0"/>
                <w:numId w:val="2"/>
              </w:numPr>
              <w:spacing w:before="40" w:after="40"/>
            </w:pPr>
            <w:r>
              <w:rPr>
                <w:rFonts w:ascii="Arial" w:cs="Arial" w:eastAsia="Arial" w:hAnsi="Arial"/>
                <w:color w:val="1A1A2E"/>
                <w:sz w:val="20"/>
                <w:szCs w:val="20"/>
              </w:rPr>
              <w:t xml:space="preserve">Experienced Luxembourg administrators for crypto-origin AML — established procedures</w:t>
            </w:r>
          </w:p>
          <w:p>
            <w:pPr>
              <w:pStyle w:val="ListParagraph"/>
              <w:numPr>
                <w:ilvl w:val="0"/>
                <w:numId w:val="2"/>
              </w:numPr>
              <w:spacing w:before="40" w:after="40"/>
            </w:pPr>
            <w:r>
              <w:rPr>
                <w:rFonts w:ascii="Arial" w:cs="Arial" w:eastAsia="Arial" w:hAnsi="Arial"/>
                <w:color w:val="1A1A2E"/>
                <w:sz w:val="20"/>
                <w:szCs w:val="20"/>
              </w:rPr>
              <w:t xml:space="preserve">No US tax exposure for non-US investors</w:t>
            </w:r>
          </w:p>
          <w:p>
            <w:pPr>
              <w:pStyle w:val="ListParagraph"/>
              <w:numPr>
                <w:ilvl w:val="0"/>
                <w:numId w:val="2"/>
              </w:numPr>
              <w:spacing w:before="40" w:after="40"/>
            </w:pPr>
            <w:r>
              <w:rPr>
                <w:rFonts w:ascii="Arial" w:cs="Arial" w:eastAsia="Arial" w:hAnsi="Arial"/>
                <w:color w:val="1A1A2E"/>
                <w:sz w:val="20"/>
                <w:szCs w:val="20"/>
              </w:rPr>
              <w:t xml:space="preserve">Institutional-grade structure recognised by future co-investors and acquirers</w:t>
            </w:r>
          </w:p>
          <w:p>
            <w:pPr>
              <w:spacing w:before="80" w:after="0"/>
            </w:pPr>
          </w:p>
          <w:p>
            <w:pPr>
              <w:spacing w:before="0" w:after="40"/>
            </w:pPr>
            <w:r>
              <w:rPr>
                <w:rFonts w:ascii="Arial" w:cs="Arial" w:eastAsia="Arial" w:hAnsi="Arial"/>
                <w:b/>
                <w:bCs/>
                <w:color w:val="1B3A5C"/>
                <w:sz w:val="20"/>
                <w:szCs w:val="20"/>
              </w:rPr>
              <w:t xml:space="preserve">If majority of investors are US-based: consider Delaware C-Corp instead.</w:t>
            </w:r>
          </w:p>
          <w:p>
            <w:pPr>
              <w:spacing w:before="0" w:after="0"/>
            </w:pPr>
            <w:r>
              <w:rPr>
                <w:rFonts w:ascii="Arial" w:cs="Arial" w:eastAsia="Arial" w:hAnsi="Arial"/>
                <w:i/>
                <w:iCs/>
                <w:color w:val="1A1A2E"/>
                <w:sz w:val="20"/>
                <w:szCs w:val="20"/>
              </w:rPr>
              <w:t xml:space="preserve">If round size or timeline does not justify Luxembourg costs: proceed with direct investment and have each investor convert to fiat before wiring.</w:t>
            </w:r>
          </w:p>
        </w:tc>
      </w:tr>
    </w:tbl>
    <w:p>
      <w:pPr>
        <w:spacing w:before="300" w:after="0"/>
      </w:pPr>
    </w:p>
    <w:p>
      <w:pPr>
        <w:spacing w:before="0" w:after="0"/>
        <w:jc w:val="center"/>
      </w:pPr>
      <w:r>
        <w:rPr>
          <w:rFonts w:ascii="Arial" w:cs="Arial" w:eastAsia="Arial" w:hAnsi="Arial"/>
          <w:i/>
          <w:iCs/>
          <w:color w:val="AAAAAA"/>
          <w:sz w:val="16"/>
          <w:szCs w:val="16"/>
        </w:rPr>
        <w:t xml:space="preserve">This document is for discussion purposes only and does not constitute legal, tax, or financial advice. Parties should seek independent legal and tax counsel in each relevant jurisdiction before proceeding.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1"/>
      </w:pBdr>
      <w:spacing w:before="100" w:after="0"/>
      <w:jc w:val="center"/>
    </w:pPr>
    <w:r>
      <w:rPr>
        <w:rFonts w:ascii="Arial" w:cs="Arial" w:eastAsia="Arial" w:hAnsi="Arial"/>
        <w:color w:val="AAAAAA"/>
        <w:sz w:val="17"/>
        <w:szCs w:val="17"/>
      </w:rPr>
      <w:t xml:space="preserve">Direct Investment  vs  Delaware SPV  vs  Luxembourg Holding  — Page </w:t>
    </w:r>
    <w:r>
      <w:rPr>
        <w:rFonts w:ascii="Arial" w:cs="Arial" w:eastAsia="Arial" w:hAnsi="Arial"/>
        <w:color w:val="AAAAAA"/>
        <w:sz w:val="17"/>
        <w:szCs w:val="17"/>
      </w:rPr>
      <w:fldChar w:fldCharType="begin"/>
      <w:instrText xml:space="preserve">PAGE</w:instrText>
      <w:fldChar w:fldCharType="separate"/>
      <w:fldChar w:fldCharType="end"/>
    </w:r>
    <w:r>
      <w:rPr>
        <w:rFonts w:ascii="Arial" w:cs="Arial" w:eastAsia="Arial" w:hAnsi="Arial"/>
        <w:color w:val="AAAAAA"/>
        <w:sz w:val="17"/>
        <w:szCs w:val="17"/>
      </w:rPr>
      <w:t xml:space="preserve"> of </w:t>
    </w:r>
    <w:r>
      <w:rPr>
        <w:rFonts w:ascii="Arial" w:cs="Arial" w:eastAsia="Arial" w:hAnsi="Arial"/>
        <w:color w:val="AAAAA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before="0" w:after="120"/>
    </w:pPr>
    <w:r>
      <w:rPr>
        <w:rFonts w:ascii="Arial" w:cs="Arial" w:eastAsia="Arial" w:hAnsi="Arial"/>
        <w:color w:val="555577"/>
        <w:sz w:val="18"/>
        <w:szCs w:val="18"/>
      </w:rPr>
      <w:t xml:space="preserve">Swedish AB — Investment Structure Comparison</w:t>
    </w:r>
    <w:r>
      <w:rPr>
        <w:rFonts w:ascii="Arial" w:cs="Arial" w:eastAsia="Arial" w:hAnsi="Arial"/>
        <w:i/>
        <w:iCs/>
        <w:color w:val="AAAAAA"/>
        <w:sz w:val="18"/>
        <w:szCs w:val="18"/>
      </w:rPr>
      <w:t xml:space="preserve">   |   Confidential &amp; For Discussion Purposes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80"/>
      <w:outlineLvl w:val="0"/>
    </w:pPr>
    <w:rPr>
      <w:rFonts w:ascii="Arial" w:cs="Arial" w:eastAsia="Arial" w:hAnsi="Arial"/>
      <w:b/>
      <w:bCs/>
      <w:color w:val="0D2B45"/>
      <w:sz w:val="30"/>
      <w:szCs w:val="30"/>
    </w:rPr>
  </w:style>
  <w:style w:type="paragraph" w:styleId="Heading2">
    <w:name w:val="Heading 2"/>
    <w:basedOn w:val="Normal"/>
    <w:next w:val="Normal"/>
    <w:qFormat/>
    <w:pPr>
      <w:spacing w:before="280" w:after="60"/>
      <w:outlineLvl w:val="1"/>
    </w:pPr>
    <w:rPr>
      <w:rFonts w:ascii="Arial" w:cs="Arial" w:eastAsia="Arial" w:hAnsi="Arial"/>
      <w:b/>
      <w:bCs/>
      <w:color w:val="2E6DA4"/>
      <w:sz w:val="24"/>
      <w:szCs w:val="24"/>
    </w:rPr>
  </w:style>
  <w:style w:type="paragraph" w:styleId="Heading3">
    <w:name w:val="Heading 3"/>
    <w:basedOn w:val="Normal"/>
    <w:next w:val="Normal"/>
    <w:qFormat/>
    <w:pPr>
      <w:spacing w:before="200" w:after="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2026-03-13T08:57:10.975Z</dcterms:created>
  <dcterms:modified xsi:type="dcterms:W3CDTF">2026-03-13T08:57:10.975Z</dcterms:modified>
</cp:coreProperties>
</file>

<file path=docProps/custom.xml><?xml version="1.0" encoding="utf-8"?>
<Properties xmlns="http://schemas.openxmlformats.org/officeDocument/2006/custom-properties" xmlns:vt="http://schemas.openxmlformats.org/officeDocument/2006/docPropsVTypes"/>
</file>