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星河科技 经销商结算与提现细则</w:t>
      </w:r>
    </w:p>
    <w:p>
      <w:r>
        <w:t>文件编号：XH-FIN-018　版本：V1.3　生效日期：2026年2月1日　归口部门：财务部、渠道发展部</w:t>
      </w:r>
    </w:p>
    <w:p>
      <w:r>
        <w:t>本细则是《经销商管理制度》第四章「经销商提现规则」的配套操作说明。</w:t>
      </w:r>
    </w:p>
    <w:p>
      <w:pPr>
        <w:pStyle w:val="Heading1"/>
      </w:pPr>
      <w:r>
        <w:t>一、账户余额构成</w:t>
      </w:r>
    </w:p>
    <w:p>
      <w:r>
        <w:t>经销商账户余额分为三类：可提现余额、冻结余额、保证金。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余额类型</w:t>
            </w:r>
          </w:p>
        </w:tc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是否可提现</w:t>
            </w:r>
          </w:p>
        </w:tc>
      </w:tr>
      <w:tr>
        <w:tc>
          <w:tcPr>
            <w:tcW w:type="dxa" w:w="2880"/>
          </w:tcPr>
          <w:p>
            <w:r>
              <w:t>可提现余额</w:t>
            </w:r>
          </w:p>
        </w:tc>
        <w:tc>
          <w:tcPr>
            <w:tcW w:type="dxa" w:w="2880"/>
          </w:tcPr>
          <w:p>
            <w:r>
              <w:t>已结算的季度返利、已过售后期的推广佣金</w:t>
            </w:r>
          </w:p>
        </w:tc>
        <w:tc>
          <w:tcPr>
            <w:tcW w:type="dxa" w:w="2880"/>
          </w:tcPr>
          <w:p>
            <w:r>
              <w:t>可以</w:t>
            </w:r>
          </w:p>
        </w:tc>
      </w:tr>
      <w:tr>
        <w:tc>
          <w:tcPr>
            <w:tcW w:type="dxa" w:w="2880"/>
          </w:tcPr>
          <w:p>
            <w:r>
              <w:t>冻结余额</w:t>
            </w:r>
          </w:p>
        </w:tc>
        <w:tc>
          <w:tcPr>
            <w:tcW w:type="dxa" w:w="2880"/>
          </w:tcPr>
          <w:p>
            <w:r>
              <w:t>确认收货未满 15 天的佣金、存在售后纠纷订单的佣金</w:t>
            </w:r>
          </w:p>
        </w:tc>
        <w:tc>
          <w:tcPr>
            <w:tcW w:type="dxa" w:w="2880"/>
          </w:tcPr>
          <w:p>
            <w:r>
              <w:t>不可以</w:t>
            </w:r>
          </w:p>
        </w:tc>
      </w:tr>
      <w:tr>
        <w:tc>
          <w:tcPr>
            <w:tcW w:type="dxa" w:w="2880"/>
          </w:tcPr>
          <w:p>
            <w:r>
              <w:t>保证金</w:t>
            </w:r>
          </w:p>
        </w:tc>
        <w:tc>
          <w:tcPr>
            <w:tcW w:type="dxa" w:w="2880"/>
          </w:tcPr>
          <w:p>
            <w:r>
              <w:t>签约时缴纳的履约保证金</w:t>
            </w:r>
          </w:p>
        </w:tc>
        <w:tc>
          <w:tcPr>
            <w:tcW w:type="dxa" w:w="2880"/>
          </w:tcPr>
          <w:p>
            <w:r>
              <w:t>不可以，解约结算时退还</w:t>
            </w:r>
          </w:p>
        </w:tc>
      </w:tr>
    </w:tbl>
    <w:p>
      <w:pPr>
        <w:pStyle w:val="Heading1"/>
      </w:pPr>
      <w:r>
        <w:t>二、提现操作步骤</w:t>
      </w:r>
    </w:p>
    <w:p>
      <w:pPr>
        <w:pStyle w:val="ListNumber"/>
      </w:pPr>
      <w:r>
        <w:t>登录「星河渠道商平台」，进入「财务中心 - 提现」。</w:t>
      </w:r>
    </w:p>
    <w:p>
      <w:pPr>
        <w:pStyle w:val="ListNumber"/>
      </w:pPr>
      <w:r>
        <w:t>填写提现金额（1,000 元至 50 万元之间），系统自动校验可提现余额和本月提现次数（每月最多 4 次）。</w:t>
      </w:r>
    </w:p>
    <w:p>
      <w:pPr>
        <w:pStyle w:val="ListNumber"/>
      </w:pPr>
      <w:r>
        <w:t>上传与提现金额相等的增值税专用发票（税率 6%，服务类目「市场推广服务」）的 PDF 文件。</w:t>
      </w:r>
    </w:p>
    <w:p>
      <w:pPr>
        <w:pStyle w:val="ListNumber"/>
      </w:pPr>
      <w:r>
        <w:t>提交后由财务部在 3 个工作日内完成发票审核和付款审批。</w:t>
      </w:r>
    </w:p>
    <w:p>
      <w:pPr>
        <w:pStyle w:val="ListNumber"/>
      </w:pPr>
      <w:r>
        <w:t>审核通过后 T+1 个工作日，款项汇入经销商企业对公账户。</w:t>
      </w:r>
    </w:p>
    <w:p>
      <w:pPr>
        <w:pStyle w:val="Heading1"/>
      </w:pPr>
      <w:r>
        <w:t>三、常见驳回原因</w:t>
      </w:r>
    </w:p>
    <w:p>
      <w:pPr>
        <w:pStyle w:val="ListBullet"/>
      </w:pPr>
      <w:r>
        <w:t>发票抬头、税号或金额与提现申请不一致；</w:t>
      </w:r>
    </w:p>
    <w:p>
      <w:pPr>
        <w:pStyle w:val="ListBullet"/>
      </w:pPr>
      <w:r>
        <w:t>收款账户为个人账户或非经销商本企业账户；</w:t>
      </w:r>
    </w:p>
    <w:p>
      <w:pPr>
        <w:pStyle w:val="ListBullet"/>
      </w:pPr>
      <w:r>
        <w:t>申请在每月 26 日至月末的结账期内提交（将顺延至次月处理，而非驳回）；</w:t>
      </w:r>
    </w:p>
    <w:p>
      <w:pPr>
        <w:pStyle w:val="ListBullet"/>
      </w:pPr>
      <w:r>
        <w:t>经销商处于违规处罚期，提现权限被暂停。</w:t>
      </w:r>
    </w:p>
    <w:p>
      <w:pPr>
        <w:pStyle w:val="Heading1"/>
      </w:pPr>
      <w:r>
        <w:t>四、对账与争议</w:t>
      </w:r>
    </w:p>
    <w:p>
      <w:r>
        <w:t>每季度结束后第 5 个工作日，平台推送上一季度对账单。经销商应在收到对账单后 10 个工作日内确认，逾期未提出异议视为确认。对账存在争议的，由渠道经理发起复核，财务部在 5 个工作日内给出结论。</w:t>
      </w:r>
    </w:p>
    <w:p>
      <w:r>
        <w:t>联系人：财务部渠道结算组，邮箱 channel-finance@xinghe-tech.example。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