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61696" w14:textId="69C70C58" w:rsidR="00EA2A9B" w:rsidRPr="00726EDF" w:rsidRDefault="00564F91">
      <w:pPr>
        <w:rPr>
          <w:rFonts w:ascii="Times New Roman" w:hAnsi="Times New Roman" w:cs="Times New Roman"/>
          <w:lang w:val="en-US"/>
        </w:rPr>
      </w:pPr>
      <w:r w:rsidRPr="00726EDF">
        <w:rPr>
          <w:rFonts w:ascii="Times New Roman" w:hAnsi="Times New Roman" w:cs="Times New Roman"/>
          <w:lang w:val="en-US"/>
        </w:rPr>
        <w:t>Supplementary material</w:t>
      </w:r>
      <w:r w:rsidR="00FF3D58">
        <w:rPr>
          <w:rFonts w:ascii="Times New Roman" w:hAnsi="Times New Roman" w:cs="Times New Roman"/>
          <w:lang w:val="en-US"/>
        </w:rPr>
        <w:t>s</w:t>
      </w:r>
    </w:p>
    <w:p w14:paraId="3E3643E7" w14:textId="27A26CBD" w:rsidR="00564F91" w:rsidRDefault="00564F91">
      <w:pPr>
        <w:rPr>
          <w:lang w:val="en-US"/>
        </w:rPr>
      </w:pPr>
    </w:p>
    <w:p w14:paraId="0E6AE6AB" w14:textId="17B4D4B6" w:rsidR="00597B1D" w:rsidRDefault="00597B1D" w:rsidP="00597B1D">
      <w:pPr>
        <w:pStyle w:val="Caption"/>
      </w:pPr>
      <w:r w:rsidRPr="00597B1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t>S1</w:t>
      </w:r>
      <w:r w:rsidRPr="00816643">
        <w:rPr>
          <w:b/>
        </w:rPr>
        <w:t>.</w:t>
      </w:r>
      <w:r w:rsidRPr="00E17E7D">
        <w:t xml:space="preserve"> </w:t>
      </w:r>
      <w:r w:rsidRPr="00597B1D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 w:eastAsia="en-GB"/>
        </w:rPr>
        <w:t>Summary of impeller characteristics for all different used bioreactor scales.</w:t>
      </w:r>
      <w:r>
        <w:t xml:space="preserve"> 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1523"/>
        <w:gridCol w:w="1154"/>
        <w:gridCol w:w="1089"/>
        <w:gridCol w:w="1243"/>
        <w:gridCol w:w="1228"/>
        <w:gridCol w:w="1418"/>
      </w:tblGrid>
      <w:tr w:rsidR="00597B1D" w:rsidRPr="00597B1D" w14:paraId="07CE219F" w14:textId="77777777" w:rsidTr="00597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3" w:type="dxa"/>
          </w:tcPr>
          <w:p w14:paraId="361FDDC7" w14:textId="77777777" w:rsidR="00597B1D" w:rsidRPr="00597B1D" w:rsidRDefault="00597B1D" w:rsidP="00816643">
            <w:pPr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bioreactor scale (working volume)</w:t>
            </w:r>
          </w:p>
        </w:tc>
        <w:tc>
          <w:tcPr>
            <w:tcW w:w="1154" w:type="dxa"/>
          </w:tcPr>
          <w:p w14:paraId="7F8BE2D9" w14:textId="77777777" w:rsidR="00597B1D" w:rsidRPr="00597B1D" w:rsidRDefault="00597B1D" w:rsidP="008166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Impeller types</w:t>
            </w:r>
          </w:p>
        </w:tc>
        <w:tc>
          <w:tcPr>
            <w:tcW w:w="1089" w:type="dxa"/>
          </w:tcPr>
          <w:p w14:paraId="348A8A94" w14:textId="77777777" w:rsidR="00597B1D" w:rsidRPr="00597B1D" w:rsidRDefault="00597B1D" w:rsidP="008166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Number of blades</w:t>
            </w:r>
          </w:p>
        </w:tc>
        <w:tc>
          <w:tcPr>
            <w:tcW w:w="1243" w:type="dxa"/>
          </w:tcPr>
          <w:p w14:paraId="41F33166" w14:textId="77777777" w:rsidR="00597B1D" w:rsidRPr="00597B1D" w:rsidRDefault="00597B1D" w:rsidP="008166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Submerged impellers</w:t>
            </w:r>
          </w:p>
        </w:tc>
        <w:tc>
          <w:tcPr>
            <w:tcW w:w="1228" w:type="dxa"/>
          </w:tcPr>
          <w:p w14:paraId="29BAE388" w14:textId="77777777" w:rsidR="00597B1D" w:rsidRPr="00597B1D" w:rsidRDefault="00597B1D" w:rsidP="008166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Impeller diameter</w:t>
            </w:r>
          </w:p>
          <w:p w14:paraId="01B7AB35" w14:textId="77777777" w:rsidR="00597B1D" w:rsidRPr="00597B1D" w:rsidRDefault="00597B1D" w:rsidP="008166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[mm]</w:t>
            </w:r>
          </w:p>
        </w:tc>
        <w:tc>
          <w:tcPr>
            <w:tcW w:w="1418" w:type="dxa"/>
          </w:tcPr>
          <w:p w14:paraId="7E2FB8B6" w14:textId="77777777" w:rsidR="00597B1D" w:rsidRPr="00597B1D" w:rsidRDefault="00597B1D" w:rsidP="008166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 xml:space="preserve">Impeller blade height [mm] </w:t>
            </w:r>
          </w:p>
        </w:tc>
      </w:tr>
      <w:tr w:rsidR="00597B1D" w:rsidRPr="00597B1D" w14:paraId="64C8202A" w14:textId="77777777" w:rsidTr="00597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09EC92C7" w14:textId="77777777" w:rsidR="00597B1D" w:rsidRPr="00597B1D" w:rsidRDefault="00597B1D" w:rsidP="00816643">
            <w:pPr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2 L</w:t>
            </w:r>
          </w:p>
        </w:tc>
        <w:tc>
          <w:tcPr>
            <w:tcW w:w="1154" w:type="dxa"/>
          </w:tcPr>
          <w:p w14:paraId="53C790BE" w14:textId="77777777" w:rsidR="00597B1D" w:rsidRPr="00597B1D" w:rsidRDefault="00597B1D" w:rsidP="00816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 xml:space="preserve">Rushton </w:t>
            </w:r>
          </w:p>
        </w:tc>
        <w:tc>
          <w:tcPr>
            <w:tcW w:w="1089" w:type="dxa"/>
          </w:tcPr>
          <w:p w14:paraId="2A08A88F" w14:textId="77777777" w:rsidR="00597B1D" w:rsidRPr="00597B1D" w:rsidRDefault="00597B1D" w:rsidP="00816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6</w:t>
            </w:r>
          </w:p>
        </w:tc>
        <w:tc>
          <w:tcPr>
            <w:tcW w:w="1243" w:type="dxa"/>
          </w:tcPr>
          <w:p w14:paraId="29374021" w14:textId="77777777" w:rsidR="00597B1D" w:rsidRPr="00597B1D" w:rsidRDefault="00597B1D" w:rsidP="00816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1228" w:type="dxa"/>
          </w:tcPr>
          <w:p w14:paraId="47A40515" w14:textId="77777777" w:rsidR="00597B1D" w:rsidRPr="00597B1D" w:rsidRDefault="00597B1D" w:rsidP="00816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52</w:t>
            </w:r>
          </w:p>
        </w:tc>
        <w:tc>
          <w:tcPr>
            <w:tcW w:w="1418" w:type="dxa"/>
          </w:tcPr>
          <w:p w14:paraId="7A63E153" w14:textId="77777777" w:rsidR="00597B1D" w:rsidRPr="00597B1D" w:rsidRDefault="00597B1D" w:rsidP="00816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10</w:t>
            </w:r>
          </w:p>
        </w:tc>
      </w:tr>
      <w:tr w:rsidR="00597B1D" w:rsidRPr="00597B1D" w14:paraId="14225383" w14:textId="77777777" w:rsidTr="00597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6C86E490" w14:textId="77777777" w:rsidR="00597B1D" w:rsidRPr="00597B1D" w:rsidRDefault="00597B1D" w:rsidP="00816643">
            <w:pPr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20 L</w:t>
            </w:r>
          </w:p>
        </w:tc>
        <w:tc>
          <w:tcPr>
            <w:tcW w:w="1154" w:type="dxa"/>
          </w:tcPr>
          <w:p w14:paraId="0DFB6B71" w14:textId="77777777" w:rsidR="00597B1D" w:rsidRPr="00597B1D" w:rsidRDefault="00597B1D" w:rsidP="008166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Rushton</w:t>
            </w:r>
          </w:p>
        </w:tc>
        <w:tc>
          <w:tcPr>
            <w:tcW w:w="1089" w:type="dxa"/>
          </w:tcPr>
          <w:p w14:paraId="01557CBC" w14:textId="77777777" w:rsidR="00597B1D" w:rsidRPr="00597B1D" w:rsidRDefault="00597B1D" w:rsidP="008166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6</w:t>
            </w:r>
          </w:p>
        </w:tc>
        <w:tc>
          <w:tcPr>
            <w:tcW w:w="1243" w:type="dxa"/>
          </w:tcPr>
          <w:p w14:paraId="479EF1FE" w14:textId="77777777" w:rsidR="00597B1D" w:rsidRPr="00597B1D" w:rsidRDefault="00597B1D" w:rsidP="008166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1228" w:type="dxa"/>
          </w:tcPr>
          <w:p w14:paraId="37B671DF" w14:textId="77777777" w:rsidR="00597B1D" w:rsidRPr="00597B1D" w:rsidRDefault="00597B1D" w:rsidP="008166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95</w:t>
            </w:r>
          </w:p>
        </w:tc>
        <w:tc>
          <w:tcPr>
            <w:tcW w:w="1418" w:type="dxa"/>
          </w:tcPr>
          <w:p w14:paraId="6D3B39B9" w14:textId="77777777" w:rsidR="00597B1D" w:rsidRPr="00597B1D" w:rsidRDefault="00597B1D" w:rsidP="008166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13.22</w:t>
            </w:r>
          </w:p>
        </w:tc>
      </w:tr>
      <w:tr w:rsidR="00597B1D" w:rsidRPr="00597B1D" w14:paraId="635D0392" w14:textId="77777777" w:rsidTr="00597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03EA9240" w14:textId="77777777" w:rsidR="00597B1D" w:rsidRPr="00597B1D" w:rsidRDefault="00597B1D" w:rsidP="00816643">
            <w:pPr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200 L</w:t>
            </w:r>
          </w:p>
        </w:tc>
        <w:tc>
          <w:tcPr>
            <w:tcW w:w="1154" w:type="dxa"/>
          </w:tcPr>
          <w:p w14:paraId="58F94391" w14:textId="77777777" w:rsidR="00597B1D" w:rsidRPr="00597B1D" w:rsidRDefault="00597B1D" w:rsidP="00816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Rushton</w:t>
            </w:r>
          </w:p>
        </w:tc>
        <w:tc>
          <w:tcPr>
            <w:tcW w:w="1089" w:type="dxa"/>
          </w:tcPr>
          <w:p w14:paraId="6DA1F2DB" w14:textId="77777777" w:rsidR="00597B1D" w:rsidRPr="00597B1D" w:rsidRDefault="00597B1D" w:rsidP="00816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6</w:t>
            </w:r>
          </w:p>
        </w:tc>
        <w:tc>
          <w:tcPr>
            <w:tcW w:w="1243" w:type="dxa"/>
          </w:tcPr>
          <w:p w14:paraId="78EEABF3" w14:textId="77777777" w:rsidR="00597B1D" w:rsidRPr="00597B1D" w:rsidRDefault="00597B1D" w:rsidP="00816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1228" w:type="dxa"/>
          </w:tcPr>
          <w:p w14:paraId="774774CC" w14:textId="77777777" w:rsidR="00597B1D" w:rsidRPr="00597B1D" w:rsidRDefault="00597B1D" w:rsidP="00816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200</w:t>
            </w:r>
          </w:p>
        </w:tc>
        <w:tc>
          <w:tcPr>
            <w:tcW w:w="1418" w:type="dxa"/>
          </w:tcPr>
          <w:p w14:paraId="0B58A921" w14:textId="77777777" w:rsidR="00597B1D" w:rsidRPr="00597B1D" w:rsidRDefault="00597B1D" w:rsidP="00816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  <w:lang w:eastAsia="en-GB"/>
              </w:rPr>
            </w:pPr>
            <w:r w:rsidRPr="00597B1D">
              <w:rPr>
                <w:rFonts w:ascii="Times New Roman" w:hAnsi="Times New Roman" w:cs="Times New Roman"/>
                <w:sz w:val="21"/>
                <w:szCs w:val="21"/>
                <w:lang w:eastAsia="en-GB"/>
              </w:rPr>
              <w:t>40</w:t>
            </w:r>
          </w:p>
        </w:tc>
      </w:tr>
    </w:tbl>
    <w:p w14:paraId="1D82E81C" w14:textId="77777777" w:rsidR="00597B1D" w:rsidRPr="001F56E9" w:rsidRDefault="00597B1D">
      <w:pPr>
        <w:rPr>
          <w:lang w:val="en-US"/>
        </w:rPr>
      </w:pPr>
    </w:p>
    <w:p w14:paraId="5A39ECD0" w14:textId="77777777" w:rsidR="00564F91" w:rsidRPr="001F56E9" w:rsidRDefault="00564F91" w:rsidP="00564F91">
      <w:pPr>
        <w:keepNext/>
        <w:rPr>
          <w:lang w:val="en-US"/>
        </w:rPr>
      </w:pPr>
      <w:r w:rsidRPr="001F56E9">
        <w:rPr>
          <w:noProof/>
          <w:lang w:val="en-US"/>
        </w:rPr>
        <w:drawing>
          <wp:inline distT="0" distB="0" distL="0" distR="0" wp14:anchorId="153865FB" wp14:editId="5050B479">
            <wp:extent cx="5731510" cy="4658360"/>
            <wp:effectExtent l="0" t="0" r="0" b="2540"/>
            <wp:docPr id="1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ar 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DE6A" w14:textId="71195971" w:rsidR="00564F91" w:rsidRDefault="00564F91" w:rsidP="00564F91">
      <w:pPr>
        <w:pStyle w:val="Caption"/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 w:eastAsia="en-GB"/>
        </w:rPr>
      </w:pPr>
      <w:r w:rsidRPr="00726ED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t>Figure S</w:t>
      </w:r>
      <w:r w:rsidRPr="00726ED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fldChar w:fldCharType="begin"/>
      </w:r>
      <w:r w:rsidRPr="00726ED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instrText xml:space="preserve"> SEQ Figure \* ARABIC </w:instrText>
      </w:r>
      <w:r w:rsidRPr="00726ED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fldChar w:fldCharType="separate"/>
      </w:r>
      <w:r w:rsidR="009B7AD6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1"/>
          <w:szCs w:val="21"/>
          <w:lang w:val="en-US"/>
        </w:rPr>
        <w:t>1</w:t>
      </w:r>
      <w:r w:rsidRPr="00726ED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fldChar w:fldCharType="end"/>
      </w:r>
      <w:r w:rsidRPr="00726EDF">
        <w:rPr>
          <w:rFonts w:ascii="Times New Roman" w:hAnsi="Times New Roman" w:cs="Times New Roman"/>
          <w:b/>
          <w:i w:val="0"/>
          <w:iCs w:val="0"/>
          <w:color w:val="000000" w:themeColor="text1"/>
          <w:sz w:val="21"/>
          <w:szCs w:val="21"/>
          <w:lang w:val="en-US"/>
        </w:rPr>
        <w:t xml:space="preserve"> (A)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 dry cell weight (DCW) </w:t>
      </w:r>
      <w:r w:rsidR="00A93956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[g/L] 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in response to the different sparger types, ring and micro sparger, at different </w:t>
      </w:r>
      <w:proofErr w:type="spellStart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k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vertAlign w:val="subscript"/>
          <w:lang w:val="en-US"/>
        </w:rPr>
        <w:t>L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a</w:t>
      </w:r>
      <w:proofErr w:type="spellEnd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 values in the 2 L scale. </w:t>
      </w:r>
      <w:r w:rsidRPr="00726EDF">
        <w:rPr>
          <w:rFonts w:ascii="Times New Roman" w:hAnsi="Times New Roman" w:cs="Times New Roman"/>
          <w:b/>
          <w:i w:val="0"/>
          <w:iCs w:val="0"/>
          <w:color w:val="000000" w:themeColor="text1"/>
          <w:sz w:val="21"/>
          <w:szCs w:val="21"/>
          <w:lang w:val="en-US"/>
        </w:rPr>
        <w:t>(B)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 growth rate, µ [h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vertAlign w:val="superscript"/>
          <w:lang w:val="en-US"/>
        </w:rPr>
        <w:t>-1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], specific substrate uptake rates, </w:t>
      </w:r>
      <w:proofErr w:type="spellStart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q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vertAlign w:val="subscript"/>
          <w:lang w:val="en-US"/>
        </w:rPr>
        <w:t>MSG</w:t>
      </w:r>
      <w:proofErr w:type="spellEnd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 and </w:t>
      </w:r>
      <w:proofErr w:type="spellStart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q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vertAlign w:val="subscript"/>
          <w:lang w:val="en-US"/>
        </w:rPr>
        <w:t>Glc</w:t>
      </w:r>
      <w:proofErr w:type="spellEnd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vertAlign w:val="subscript"/>
          <w:lang w:val="en-US"/>
        </w:rPr>
        <w:t xml:space="preserve"> 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[</w:t>
      </w:r>
      <w:proofErr w:type="spellStart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g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vertAlign w:val="subscript"/>
          <w:lang w:val="en-US"/>
        </w:rPr>
        <w:t>S</w:t>
      </w:r>
      <w:proofErr w:type="spellEnd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/</w:t>
      </w:r>
      <w:proofErr w:type="spellStart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g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vertAlign w:val="subscript"/>
          <w:lang w:val="en-US"/>
        </w:rPr>
        <w:t>X</w:t>
      </w:r>
      <w:proofErr w:type="spellEnd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/h], and specific formation rate of trehalose, </w:t>
      </w:r>
      <w:proofErr w:type="spellStart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q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vertAlign w:val="subscript"/>
          <w:lang w:val="en-US"/>
        </w:rPr>
        <w:t>Tre</w:t>
      </w:r>
      <w:proofErr w:type="spellEnd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 [</w:t>
      </w:r>
      <w:proofErr w:type="spellStart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g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vertAlign w:val="subscript"/>
          <w:lang w:val="en-US"/>
        </w:rPr>
        <w:t>p</w:t>
      </w:r>
      <w:proofErr w:type="spellEnd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/</w:t>
      </w:r>
      <w:proofErr w:type="spellStart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g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vertAlign w:val="subscript"/>
          <w:lang w:val="en-US"/>
        </w:rPr>
        <w:t>x</w:t>
      </w:r>
      <w:proofErr w:type="spellEnd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/h]. 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 w:eastAsia="en-GB"/>
        </w:rPr>
        <w:t>Error bars indicate the deviation between the various sampling points after reaching steady state in the chemostat phase.</w:t>
      </w:r>
    </w:p>
    <w:p w14:paraId="165884C0" w14:textId="77777777" w:rsidR="00772DB3" w:rsidRPr="00772DB3" w:rsidRDefault="00772DB3" w:rsidP="00772DB3">
      <w:pPr>
        <w:rPr>
          <w:lang w:val="en-US" w:eastAsia="en-GB"/>
        </w:rPr>
      </w:pPr>
    </w:p>
    <w:p w14:paraId="147A6B7D" w14:textId="77777777" w:rsidR="009B7AD6" w:rsidRDefault="009B7AD6" w:rsidP="009B7AD6">
      <w:pPr>
        <w:rPr>
          <w:lang w:val="en-US" w:eastAsia="en-GB"/>
        </w:rPr>
        <w:sectPr w:rsidR="009B7AD6" w:rsidSect="009B7AD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DC96AAE" w14:textId="761B683A" w:rsidR="009B7AD6" w:rsidRPr="009B7AD6" w:rsidRDefault="009B7AD6" w:rsidP="009B7AD6">
      <w:pPr>
        <w:rPr>
          <w:lang w:val="en-US" w:eastAsia="en-GB"/>
        </w:rPr>
      </w:pPr>
    </w:p>
    <w:p w14:paraId="7F4F0396" w14:textId="77777777" w:rsidR="009B7AD6" w:rsidRDefault="009B7AD6" w:rsidP="00F40F7E">
      <w:pPr>
        <w:keepNext/>
        <w:jc w:val="center"/>
      </w:pPr>
      <w:r w:rsidRPr="009B7AD6">
        <w:rPr>
          <w:noProof/>
          <w:lang w:val="en-US" w:eastAsia="en-GB"/>
        </w:rPr>
        <w:drawing>
          <wp:inline distT="0" distB="0" distL="0" distR="0" wp14:anchorId="1BAC56F3" wp14:editId="1104BF00">
            <wp:extent cx="7257971" cy="5065551"/>
            <wp:effectExtent l="0" t="0" r="0" b="190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7971" cy="506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1210" w14:textId="2A5E3354" w:rsidR="009B7AD6" w:rsidRPr="002E5B68" w:rsidRDefault="009B7AD6" w:rsidP="009B7AD6">
      <w:pPr>
        <w:pStyle w:val="Caption"/>
        <w:rPr>
          <w:vertAlign w:val="superscript"/>
          <w:lang w:val="en-US" w:eastAsia="en-GB"/>
        </w:rPr>
      </w:pPr>
      <w:r w:rsidRPr="00726ED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t xml:space="preserve">Figure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t>S</w:t>
      </w:r>
      <w:r w:rsidRPr="00726ED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fldChar w:fldCharType="begin"/>
      </w:r>
      <w:r w:rsidRPr="00726ED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instrText xml:space="preserve"> SEQ Figure \* ARABIC </w:instrText>
      </w:r>
      <w:r w:rsidRPr="00726ED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1"/>
          <w:szCs w:val="21"/>
          <w:lang w:val="en-US"/>
        </w:rPr>
        <w:t>2</w:t>
      </w:r>
      <w:r w:rsidRPr="00726ED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fldChar w:fldCharType="end"/>
      </w:r>
      <w:r w:rsidR="002E5B6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t xml:space="preserve"> </w:t>
      </w:r>
      <w:r w:rsidR="002E5B68">
        <w:rPr>
          <w:rFonts w:ascii="Times New Roman" w:hAnsi="Times New Roman" w:cs="Times New Roman"/>
          <w:bCs/>
          <w:i w:val="0"/>
          <w:iCs w:val="0"/>
          <w:color w:val="000000" w:themeColor="text1"/>
          <w:sz w:val="21"/>
          <w:szCs w:val="21"/>
          <w:lang w:val="en-US"/>
        </w:rPr>
        <w:t>Course of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lang w:val="en-US"/>
        </w:rPr>
        <w:t xml:space="preserve"> </w:t>
      </w:r>
      <w:r w:rsidR="00961254">
        <w:rPr>
          <w:rFonts w:ascii="Times New Roman" w:hAnsi="Times New Roman" w:cs="Times New Roman"/>
          <w:bCs/>
          <w:i w:val="0"/>
          <w:iCs w:val="0"/>
          <w:color w:val="000000" w:themeColor="text1"/>
          <w:sz w:val="21"/>
          <w:szCs w:val="21"/>
          <w:lang w:val="en-US"/>
        </w:rPr>
        <w:t>d</w:t>
      </w:r>
      <w:r>
        <w:rPr>
          <w:rFonts w:ascii="Times New Roman" w:hAnsi="Times New Roman" w:cs="Times New Roman"/>
          <w:bCs/>
          <w:i w:val="0"/>
          <w:iCs w:val="0"/>
          <w:color w:val="000000" w:themeColor="text1"/>
          <w:sz w:val="21"/>
          <w:szCs w:val="21"/>
          <w:lang w:val="en-US"/>
        </w:rPr>
        <w:t>issolved oxygen</w:t>
      </w:r>
      <w:r w:rsidR="002E5B68">
        <w:rPr>
          <w:rFonts w:ascii="Times New Roman" w:hAnsi="Times New Roman" w:cs="Times New Roman"/>
          <w:bCs/>
          <w:i w:val="0"/>
          <w:iCs w:val="0"/>
          <w:color w:val="000000" w:themeColor="text1"/>
          <w:sz w:val="21"/>
          <w:szCs w:val="21"/>
          <w:lang w:val="en-US"/>
        </w:rPr>
        <w:t xml:space="preserve"> </w:t>
      </w:r>
      <w:r w:rsidR="002E5B68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[%] and OD</w:t>
      </w:r>
      <w:r w:rsidR="002E5B68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vertAlign w:val="subscript"/>
          <w:lang w:val="en-US"/>
        </w:rPr>
        <w:t>600</w:t>
      </w:r>
      <w:r w:rsidR="002E5B68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 [Abs]</w:t>
      </w:r>
      <w:r w:rsidR="002E5B68">
        <w:rPr>
          <w:rFonts w:ascii="Times New Roman" w:hAnsi="Times New Roman" w:cs="Times New Roman"/>
          <w:bCs/>
          <w:i w:val="0"/>
          <w:iCs w:val="0"/>
          <w:color w:val="000000" w:themeColor="text1"/>
          <w:sz w:val="21"/>
          <w:szCs w:val="21"/>
          <w:lang w:val="en-US"/>
        </w:rPr>
        <w:t xml:space="preserve"> in</w:t>
      </w:r>
      <w:r w:rsidRPr="00726EDF">
        <w:rPr>
          <w:rFonts w:ascii="Times New Roman" w:hAnsi="Times New Roman" w:cs="Times New Roman"/>
          <w:b/>
          <w:i w:val="0"/>
          <w:iCs w:val="0"/>
          <w:color w:val="000000" w:themeColor="text1"/>
          <w:sz w:val="21"/>
          <w:szCs w:val="21"/>
          <w:lang w:val="en-US"/>
        </w:rPr>
        <w:t xml:space="preserve"> (A)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2 L </w:t>
      </w:r>
      <w:r w:rsidR="002E5B68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continuous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cultivation 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in response to the different sparger types, ring and micro sparger, at different </w:t>
      </w:r>
      <w:proofErr w:type="spellStart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k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vertAlign w:val="subscript"/>
          <w:lang w:val="en-US"/>
        </w:rPr>
        <w:t>L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a</w:t>
      </w:r>
      <w:proofErr w:type="spellEnd"/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 values</w:t>
      </w:r>
      <w:r w:rsidR="002E5B68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;</w:t>
      </w:r>
      <w:r w:rsidRPr="00726EDF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 </w:t>
      </w:r>
      <w:r w:rsidR="002E5B68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in </w:t>
      </w:r>
      <w:r w:rsidRPr="00726EDF">
        <w:rPr>
          <w:rFonts w:ascii="Times New Roman" w:hAnsi="Times New Roman" w:cs="Times New Roman"/>
          <w:b/>
          <w:i w:val="0"/>
          <w:iCs w:val="0"/>
          <w:color w:val="000000" w:themeColor="text1"/>
          <w:sz w:val="21"/>
          <w:szCs w:val="21"/>
          <w:lang w:val="en-US"/>
        </w:rPr>
        <w:t>(B)</w:t>
      </w:r>
      <w:r w:rsidR="002E5B68">
        <w:rPr>
          <w:rFonts w:ascii="Times New Roman" w:hAnsi="Times New Roman" w:cs="Times New Roman"/>
          <w:b/>
          <w:i w:val="0"/>
          <w:iCs w:val="0"/>
          <w:color w:val="000000" w:themeColor="text1"/>
          <w:sz w:val="21"/>
          <w:szCs w:val="21"/>
          <w:lang w:val="en-US"/>
        </w:rPr>
        <w:t xml:space="preserve"> </w:t>
      </w:r>
      <w:r w:rsidR="002E5B68" w:rsidRPr="002E5B68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>20 L continu</w:t>
      </w:r>
      <w:r w:rsidR="002E5B68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ous cultivation; </w:t>
      </w:r>
      <w:r w:rsidR="002E5B68" w:rsidRPr="002E5B68">
        <w:rPr>
          <w:rFonts w:ascii="Times New Roman" w:hAnsi="Times New Roman" w:cs="Times New Roman"/>
          <w:b/>
          <w:i w:val="0"/>
          <w:iCs w:val="0"/>
          <w:color w:val="000000" w:themeColor="text1"/>
          <w:sz w:val="21"/>
          <w:szCs w:val="21"/>
          <w:lang w:val="en-US"/>
        </w:rPr>
        <w:t>(C)</w:t>
      </w:r>
      <w:r w:rsidR="002E5B68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 200 L cultivation. Note that in case of the 2 L cultivation as the sparger type as well as the stirrer speed was changed during the cultivation the calibration of</w:t>
      </w:r>
      <w:r w:rsidR="00961254">
        <w:rPr>
          <w:rFonts w:ascii="Times New Roman" w:hAnsi="Times New Roman" w:cs="Times New Roman"/>
          <w:i w:val="0"/>
          <w:iCs w:val="0"/>
          <w:color w:val="000000" w:themeColor="text1"/>
          <w:sz w:val="21"/>
          <w:szCs w:val="21"/>
          <w:lang w:val="en-US"/>
        </w:rPr>
        <w:t xml:space="preserve"> the dissolved oxygen is hence after the first condition not anymore accurate. </w:t>
      </w:r>
    </w:p>
    <w:sectPr w:rsidR="009B7AD6" w:rsidRPr="002E5B68" w:rsidSect="009B7AD6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91"/>
    <w:rsid w:val="001F56E9"/>
    <w:rsid w:val="00256FDE"/>
    <w:rsid w:val="002E5B68"/>
    <w:rsid w:val="00564F91"/>
    <w:rsid w:val="005662D6"/>
    <w:rsid w:val="00597B1D"/>
    <w:rsid w:val="00603B3D"/>
    <w:rsid w:val="006A44E5"/>
    <w:rsid w:val="00726EDF"/>
    <w:rsid w:val="00772DB3"/>
    <w:rsid w:val="00915D27"/>
    <w:rsid w:val="00961254"/>
    <w:rsid w:val="009B7AD6"/>
    <w:rsid w:val="00A93956"/>
    <w:rsid w:val="00AD5E79"/>
    <w:rsid w:val="00C165FF"/>
    <w:rsid w:val="00C50C7D"/>
    <w:rsid w:val="00D142A6"/>
    <w:rsid w:val="00D334EF"/>
    <w:rsid w:val="00D641BB"/>
    <w:rsid w:val="00EA2A9B"/>
    <w:rsid w:val="00F40F7E"/>
    <w:rsid w:val="00FF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F712"/>
  <w15:chartTrackingRefBased/>
  <w15:docId w15:val="{6FFAFCF1-8F1D-644C-84AC-50F7C0D4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64F91"/>
    <w:pPr>
      <w:spacing w:after="200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64F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4F91"/>
    <w:pPr>
      <w:jc w:val="both"/>
    </w:pPr>
    <w:rPr>
      <w:rFonts w:ascii="Times New Roman" w:hAnsi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4F91"/>
    <w:rPr>
      <w:rFonts w:ascii="Times New Roman" w:hAnsi="Times New Roman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772D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D334E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DF4B6-170E-4881-B509-CDDDAB9D6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Kerstin Rastädter</dc:creator>
  <cp:keywords/>
  <dc:description/>
  <cp:lastModifiedBy>Kerstin Rastädter</cp:lastModifiedBy>
  <cp:revision>13</cp:revision>
  <dcterms:created xsi:type="dcterms:W3CDTF">2022-12-05T12:13:00Z</dcterms:created>
  <dcterms:modified xsi:type="dcterms:W3CDTF">2023-03-22T13:01:00Z</dcterms:modified>
</cp:coreProperties>
</file>