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50"/>
      </w:pPr>
    </w:p>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1E3A5F"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Module C — Reading Comprehension</w:t>
            </w:r>
          </w:p>
          <w:p>
            <w:pPr>
              <w:spacing w:after="140" w:before="20"/>
              <w:jc w:val="center"/>
            </w:pPr>
            <w:r>
              <w:rPr>
                <w:rFonts w:ascii="Calibri" w:cs="Calibri" w:eastAsia="Calibri" w:hAnsi="Calibri"/>
                <w:color w:val="FFFFFF"/>
                <w:sz w:val="20"/>
                <w:szCs w:val="20"/>
              </w:rPr>
              <w:t xml:space="preserve">קורס הכנה לבגרות באנגלית · 3–4 יחידות</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DC2626" w:sz="6"/>
              <w:left w:val="single" w:color="DC2626" w:sz="18"/>
              <w:bottom w:val="single" w:color="DC2626" w:sz="6"/>
              <w:right w:val="none"/>
            </w:tcBorders>
            <w:shd w:fill="DC2626" w:val="clear"/>
            <w:tcMar>
              <w:top w:type="dxa" w:w="160"/>
              <w:left w:type="dxa" w:w="240"/>
              <w:bottom w:type="dxa" w:w="160"/>
              <w:right w:type="dxa" w:w="240"/>
            </w:tcMar>
          </w:tcPr>
          <w:p>
            <w:pPr>
              <w:spacing w:after="80" w:before="80"/>
            </w:pPr>
            <w:r>
              <w:rPr>
                <w:rFonts w:ascii="Calibri" w:cs="Calibri" w:eastAsia="Calibri" w:hAnsi="Calibri"/>
                <w:b/>
                <w:bCs/>
                <w:color w:val="FFFFFF"/>
                <w:sz w:val="22"/>
                <w:szCs w:val="22"/>
              </w:rPr>
              <w:t xml:space="preserve">PART A — READING SKILLS</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DC2626"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שיעור 06</w:t>
            </w:r>
          </w:p>
          <w:p>
            <w:pPr>
              <w:spacing w:after="140" w:before="20"/>
              <w:jc w:val="center"/>
            </w:pPr>
            <w:r>
              <w:rPr>
                <w:rFonts w:ascii="Calibri" w:cs="Calibri" w:eastAsia="Calibri" w:hAnsi="Calibri"/>
                <w:color w:val="FFFFFF"/>
                <w:sz w:val="20"/>
                <w:szCs w:val="20"/>
              </w:rPr>
              <w:t xml:space="preserve">"Eye Catcher: NOT"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b/>
                <w:bCs/>
                <w:color w:val="1E3A5F"/>
                <w:sz w:val="22"/>
                <w:szCs w:val="22"/>
              </w:rPr>
              <w:t xml:space="preserve">המיקרו-סקיל:</w:t>
            </w:r>
          </w:p>
          <w:p>
            <w:pPr>
              <w:spacing w:after="80" w:before="80"/>
            </w:pPr>
            <w:r>
              <w:rPr>
                <w:rFonts w:ascii="Calibri" w:cs="Calibri" w:eastAsia="Calibri" w:hAnsi="Calibri"/>
                <w:sz w:val="22"/>
                <w:szCs w:val="22"/>
              </w:rPr>
              <w:t xml:space="preserve">ראיתי NOT? אני מחפש מה לא נכון — לא מה נכון.</w:t>
            </w:r>
          </w:p>
        </w:tc>
      </w:tr>
    </w:tbl>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D97706"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1</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D97706"/>
                <w:sz w:val="22"/>
                <w:szCs w:val="22"/>
              </w:rPr>
              <w:t xml:space="preserve">WOW MOMENT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DC2626" w:sz="6"/>
              <w:left w:val="single" w:color="DC2626" w:sz="18"/>
              <w:bottom w:val="single" w:color="DC2626" w:sz="6"/>
              <w:right w:val="none"/>
            </w:tcBorders>
            <w:shd w:fill="FEF2F2" w:val="clear"/>
            <w:tcMar>
              <w:top w:type="dxa" w:w="160"/>
              <w:left w:type="dxa" w:w="240"/>
              <w:bottom w:type="dxa" w:w="160"/>
              <w:right w:type="dxa" w:w="240"/>
            </w:tcMar>
          </w:tcPr>
          <w:p>
            <w:pPr>
              <w:spacing w:after="80" w:before="80"/>
            </w:pPr>
            <w:r>
              <w:rPr>
                <w:rFonts w:ascii="Calibri" w:cs="Calibri" w:eastAsia="Calibri" w:hAnsi="Calibri"/>
                <w:b/>
                <w:bCs/>
                <w:color w:val="DC2626"/>
                <w:sz w:val="22"/>
                <w:szCs w:val="22"/>
              </w:rPr>
              <w:t xml:space="preserve">💀 המילה הכי מסוכנת בבחינה:</w:t>
            </w:r>
          </w:p>
          <w:p>
            <w:pPr>
              <w:spacing w:after="50" w:before="50"/>
            </w:pPr>
          </w:p>
          <w:p>
            <w:pPr>
              <w:spacing w:after="50" w:before="50"/>
            </w:pPr>
          </w:p>
          <w:p>
            <w:pPr>
              <w:spacing w:after="80" w:before="80"/>
              <w:jc w:val="center"/>
            </w:pPr>
            <w:r>
              <w:rPr>
                <w:rFonts w:ascii="Calibri" w:cs="Calibri" w:eastAsia="Calibri" w:hAnsi="Calibri"/>
                <w:b/>
                <w:bCs/>
                <w:color w:val="DC2626"/>
                <w:sz w:val="48"/>
                <w:szCs w:val="48"/>
              </w:rPr>
              <w:t xml:space="preserve">NOT</w:t>
            </w:r>
          </w:p>
          <w:p>
            <w:pPr>
              <w:spacing w:after="50" w:before="50"/>
            </w:pPr>
          </w:p>
          <w:p>
            <w:pPr>
              <w:spacing w:after="50" w:before="50"/>
            </w:pPr>
          </w:p>
          <w:p>
            <w:pPr>
              <w:spacing w:after="80" w:before="80"/>
            </w:pPr>
            <w:r>
              <w:rPr>
                <w:rFonts w:ascii="Calibri" w:cs="Calibri" w:eastAsia="Calibri" w:hAnsi="Calibri"/>
                <w:sz w:val="22"/>
                <w:szCs w:val="22"/>
              </w:rPr>
              <w:t xml:space="preserve">90% מהתלמידים שרואים NOT בשאלה עונים על השאלה ההפוכה.</w:t>
            </w:r>
          </w:p>
          <w:p>
            <w:pPr>
              <w:spacing w:after="80" w:before="80"/>
            </w:pPr>
            <w:r>
              <w:rPr>
                <w:rFonts w:ascii="Calibri" w:cs="Calibri" w:eastAsia="Calibri" w:hAnsi="Calibri"/>
                <w:sz w:val="22"/>
                <w:szCs w:val="22"/>
              </w:rPr>
              <w:t xml:space="preserve">הם מחפשים מה נכון — במקום מה לא נכון.</w:t>
            </w:r>
          </w:p>
          <w:p>
            <w:pPr>
              <w:spacing w:after="80" w:before="80"/>
            </w:pPr>
            <w:r>
              <w:rPr>
                <w:rFonts w:ascii="Calibri" w:cs="Calibri" w:eastAsia="Calibri" w:hAnsi="Calibri"/>
                <w:b/>
                <w:bCs/>
                <w:color w:val="1E3A5F"/>
                <w:sz w:val="22"/>
                <w:szCs w:val="22"/>
              </w:rPr>
              <w:t xml:space="preserve">NOT משנה את כל השאלה.</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0D7A6E"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2</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0D7A6E"/>
                <w:sz w:val="22"/>
                <w:szCs w:val="22"/>
              </w:rPr>
              <w:t xml:space="preserve">THE TOOL — NOT = ציד</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4600"/>
        <w:gridCol w:w="400"/>
        <w:gridCol w:w="4600"/>
      </w:tblGrid>
      <w:tr>
        <w:tc>
          <w:tcPr>
            <w:tcW w:type="dxa" w:w="4600"/>
            <w:tcBorders>
              <w:top w:val="none"/>
              <w:left w:val="none"/>
              <w:bottom w:val="none"/>
              <w:right w:val="none"/>
            </w:tcBorders>
            <w:shd w:fill="EBF0F8" w:val="clear"/>
            <w:tcMar>
              <w:top w:type="dxa" w:w="160"/>
              <w:left w:type="dxa" w:w="180"/>
              <w:bottom w:type="dxa" w:w="160"/>
              <w:right w:type="dxa" w:w="180"/>
            </w:tcMar>
            <w:vAlign w:val="top"/>
          </w:tcPr>
          <w:p>
            <w:pPr>
              <w:spacing w:after="80" w:before="80"/>
            </w:pPr>
            <w:r>
              <w:rPr>
                <w:rFonts w:ascii="Calibri" w:cs="Calibri" w:eastAsia="Calibri" w:hAnsi="Calibri"/>
                <w:b/>
                <w:bCs/>
                <w:color w:val="1E3A5F"/>
                <w:sz w:val="22"/>
                <w:szCs w:val="22"/>
              </w:rPr>
              <w:t xml:space="preserve">שאלה רגילה:</w:t>
            </w:r>
          </w:p>
          <w:p>
            <w:pPr>
              <w:spacing w:after="50" w:before="50"/>
            </w:pPr>
          </w:p>
          <w:p>
            <w:pPr>
              <w:spacing w:after="80" w:before="80"/>
            </w:pPr>
            <w:r>
              <w:rPr>
                <w:rFonts w:ascii="Calibri" w:cs="Calibri" w:eastAsia="Calibri" w:hAnsi="Calibri"/>
                <w:i/>
                <w:iCs/>
                <w:color w:val="1E3A5F"/>
                <w:sz w:val="22"/>
                <w:szCs w:val="22"/>
              </w:rPr>
              <w:t xml:space="preserve">"What do we learn?"</w:t>
            </w:r>
          </w:p>
          <w:p>
            <w:pPr>
              <w:spacing w:after="50" w:before="50"/>
            </w:pPr>
          </w:p>
          <w:p>
            <w:pPr>
              <w:spacing w:after="80" w:before="80"/>
            </w:pPr>
            <w:r>
              <w:rPr>
                <w:rFonts w:ascii="Calibri" w:cs="Calibri" w:eastAsia="Calibri" w:hAnsi="Calibri"/>
                <w:sz w:val="22"/>
                <w:szCs w:val="22"/>
              </w:rPr>
              <w:t xml:space="preserve">← מחפש מה נכון.</w:t>
            </w:r>
          </w:p>
        </w:tc>
        <w:tc>
          <w:tcPr>
            <w:tcW w:type="dxa" w:w="400"/>
            <w:tcBorders>
              <w:top w:val="none"/>
              <w:left w:val="none"/>
              <w:bottom w:val="none"/>
              <w:right w:val="none"/>
            </w:tcBorders>
          </w:tcPr>
          <w:p>
            <w:pPr>
              <w:spacing w:after="80" w:before="80"/>
            </w:pPr>
            <w:r>
              <w:rPr>
                <w:rFonts w:ascii="Calibri" w:cs="Calibri" w:eastAsia="Calibri" w:hAnsi="Calibri"/>
                <w:sz w:val="22"/>
                <w:szCs w:val="22"/>
              </w:rPr>
              <w:t xml:space="preserve"/>
            </w:r>
          </w:p>
        </w:tc>
        <w:tc>
          <w:tcPr>
            <w:tcW w:type="dxa" w:w="4600"/>
            <w:tcBorders>
              <w:top w:val="none"/>
              <w:left w:val="none"/>
              <w:bottom w:val="none"/>
              <w:right w:val="none"/>
            </w:tcBorders>
            <w:shd w:fill="FEF2F2" w:val="clear"/>
            <w:tcMar>
              <w:top w:type="dxa" w:w="160"/>
              <w:left w:type="dxa" w:w="180"/>
              <w:bottom w:type="dxa" w:w="160"/>
              <w:right w:type="dxa" w:w="180"/>
            </w:tcMar>
            <w:vAlign w:val="top"/>
          </w:tcPr>
          <w:p>
            <w:pPr>
              <w:spacing w:after="80" w:before="80"/>
            </w:pPr>
            <w:r>
              <w:rPr>
                <w:rFonts w:ascii="Calibri" w:cs="Calibri" w:eastAsia="Calibri" w:hAnsi="Calibri"/>
                <w:b/>
                <w:bCs/>
                <w:color w:val="DC2626"/>
                <w:sz w:val="22"/>
                <w:szCs w:val="22"/>
              </w:rPr>
              <w:t xml:space="preserve">שאלה עם NOT:</w:t>
            </w:r>
          </w:p>
          <w:p>
            <w:pPr>
              <w:spacing w:after="50" w:before="50"/>
            </w:pPr>
          </w:p>
          <w:p>
            <w:pPr>
              <w:spacing w:after="80" w:before="80"/>
            </w:pPr>
            <w:r>
              <w:rPr>
                <w:rFonts w:ascii="Calibri" w:cs="Calibri" w:eastAsia="Calibri" w:hAnsi="Calibri"/>
                <w:i/>
                <w:iCs/>
                <w:color w:val="1E3A5F"/>
                <w:sz w:val="22"/>
                <w:szCs w:val="22"/>
              </w:rPr>
              <w:t xml:space="preserve">"Which is NOT true?"</w:t>
            </w:r>
          </w:p>
          <w:p>
            <w:pPr>
              <w:spacing w:after="50" w:before="50"/>
            </w:pPr>
          </w:p>
          <w:p>
            <w:pPr>
              <w:spacing w:after="80" w:before="80"/>
            </w:pPr>
            <w:r>
              <w:rPr>
                <w:rFonts w:ascii="Calibri" w:cs="Calibri" w:eastAsia="Calibri" w:hAnsi="Calibri"/>
                <w:b/>
                <w:bCs/>
                <w:color w:val="DC2626"/>
                <w:sz w:val="22"/>
                <w:szCs w:val="22"/>
              </w:rPr>
              <w:t xml:space="preserve">← מחפש מה לא נכון.</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DC2626" w:sz="6"/>
              <w:left w:val="single" w:color="DC2626" w:sz="18"/>
              <w:bottom w:val="single" w:color="DC2626" w:sz="6"/>
              <w:right w:val="none"/>
            </w:tcBorders>
            <w:shd w:fill="FEF2F2" w:val="clear"/>
            <w:tcMar>
              <w:top w:type="dxa" w:w="160"/>
              <w:left w:type="dxa" w:w="240"/>
              <w:bottom w:type="dxa" w:w="160"/>
              <w:right w:type="dxa" w:w="240"/>
            </w:tcMar>
          </w:tcPr>
          <w:p>
            <w:pPr>
              <w:spacing w:after="80" w:before="80"/>
            </w:pPr>
            <w:r>
              <w:rPr>
                <w:rFonts w:ascii="Calibri" w:cs="Calibri" w:eastAsia="Calibri" w:hAnsi="Calibri"/>
                <w:b/>
                <w:bCs/>
                <w:color w:val="DC2626"/>
                <w:sz w:val="22"/>
                <w:szCs w:val="22"/>
              </w:rPr>
              <w:t xml:space="preserve">🎯 הכלל:</w:t>
            </w:r>
          </w:p>
          <w:p>
            <w:pPr>
              <w:spacing w:after="80" w:before="80"/>
            </w:pPr>
            <w:r>
              <w:rPr>
                <w:rFonts w:ascii="Calibri" w:cs="Calibri" w:eastAsia="Calibri" w:hAnsi="Calibri"/>
                <w:sz w:val="22"/>
                <w:szCs w:val="22"/>
              </w:rPr>
              <w:t xml:space="preserve">כל שאר האפשרויות ← נכונות בטקסט.</w:t>
            </w:r>
          </w:p>
          <w:p>
            <w:pPr>
              <w:spacing w:after="80" w:before="80"/>
            </w:pPr>
            <w:r>
              <w:rPr>
                <w:rFonts w:ascii="Calibri" w:cs="Calibri" w:eastAsia="Calibri" w:hAnsi="Calibri"/>
                <w:b/>
                <w:bCs/>
                <w:color w:val="DC2626"/>
                <w:sz w:val="22"/>
                <w:szCs w:val="22"/>
              </w:rPr>
              <w:t xml:space="preserve">האפשרות ה"לא נכונה" = התשובה.</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15803D"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3</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15803D"/>
                <w:sz w:val="22"/>
                <w:szCs w:val="22"/>
              </w:rPr>
              <w:t xml:space="preserve">WATCH IT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I Learning to swim as an adult is more common than many people think. According to a recent survey, over 30% of adults in large cities cannot swim. Many of them feel embarrassed about this and never try to learn. However, experts say it is never too late.
II One study found that adults who learned to swim later in life often became stronger swimmers than those who learned as children. "Adults understand what the teacher explains and can correct their mistakes more quickly," says Dr. Anna Klein. "They are also not afraid to ask questions."
III Adult swimming classes are now available in most cities. Some programs meet only once a week, while others offer three sessions a week. According to instructors, adults who practice regularly usually make good progress in less than two months.</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DC2626" w:sz="6"/>
              <w:left w:val="single" w:color="DC2626" w:sz="18"/>
              <w:bottom w:val="single" w:color="DC2626" w:sz="6"/>
              <w:right w:val="none"/>
            </w:tcBorders>
            <w:shd w:fill="D1FAF5" w:val="clear"/>
            <w:tcMar>
              <w:top w:type="dxa" w:w="160"/>
              <w:left w:type="dxa" w:w="240"/>
              <w:bottom w:type="dxa" w:w="160"/>
              <w:right w:type="dxa" w:w="240"/>
            </w:tcMar>
          </w:tcPr>
          <w:p>
            <w:pPr>
              <w:spacing w:after="80" w:before="80"/>
            </w:pPr>
            <w:r>
              <w:rPr>
                <w:rFonts w:ascii="Calibri" w:cs="Calibri" w:eastAsia="Calibri" w:hAnsi="Calibri"/>
                <w:b/>
                <w:bCs/>
                <w:color w:val="DC2626"/>
                <w:sz w:val="22"/>
                <w:szCs w:val="22"/>
              </w:rPr>
              <w:t xml:space="preserve">❓ השאלה:</w:t>
            </w:r>
          </w:p>
          <w:p>
            <w:pPr>
              <w:spacing w:after="80" w:before="80"/>
            </w:pPr>
            <w:r>
              <w:rPr>
                <w:rFonts w:ascii="Calibri" w:cs="Calibri" w:eastAsia="Calibri" w:hAnsi="Calibri"/>
                <w:b/>
                <w:bCs/>
                <w:color w:val="DC2626"/>
                <w:sz w:val="24"/>
                <w:szCs w:val="24"/>
              </w:rPr>
              <w:t xml:space="preserve">Which of the following is NOT mentioned in the text?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5400"/>
        <w:gridCol w:w="4200"/>
      </w:tblGrid>
      <w:tr>
        <w:tc>
          <w:tcPr>
            <w:tcW w:type="dxa" w:w="5400"/>
            <w:tcMar>
              <w:top w:type="dxa" w:w="80"/>
              <w:left w:type="dxa" w:w="160"/>
              <w:bottom w:type="dxa" w:w="80"/>
              <w:right w:type="dxa" w:w="160"/>
            </w:tcMar>
          </w:tcPr>
          <w:p>
            <w:pPr>
              <w:spacing w:after="80" w:before="80"/>
            </w:pPr>
            <w:r>
              <w:rPr>
                <w:rFonts w:ascii="Calibri" w:cs="Calibri" w:eastAsia="Calibri" w:hAnsi="Calibri"/>
                <w:i/>
                <w:iCs/>
                <w:color w:val="1E3A5F"/>
                <w:sz w:val="22"/>
                <w:szCs w:val="22"/>
              </w:rPr>
              <w:t xml:space="preserve">i) 30% of adults cannot swim</w:t>
            </w:r>
          </w:p>
        </w:tc>
        <w:tc>
          <w:tcPr>
            <w:tcW w:type="dxa" w:w="4200"/>
            <w:shd w:fill="DCFCE7" w:val="clear"/>
            <w:tcMar>
              <w:top w:type="dxa" w:w="80"/>
              <w:left w:type="dxa" w:w="160"/>
              <w:bottom w:type="dxa" w:w="80"/>
              <w:right w:type="dxa" w:w="160"/>
            </w:tcMar>
          </w:tcPr>
          <w:p>
            <w:pPr>
              <w:spacing w:after="80" w:before="80"/>
            </w:pPr>
            <w:r>
              <w:rPr>
                <w:rFonts w:ascii="Calibri" w:cs="Calibri" w:eastAsia="Calibri" w:hAnsi="Calibri"/>
                <w:b/>
                <w:bCs/>
                <w:color w:val="15803D"/>
                <w:sz w:val="22"/>
                <w:szCs w:val="22"/>
              </w:rPr>
              <w:t xml:space="preserve">✅ מוזכר — פסקה I</w:t>
            </w:r>
          </w:p>
        </w:tc>
      </w:tr>
      <w:tr>
        <w:tc>
          <w:tcPr>
            <w:tcW w:type="dxa" w:w="5400"/>
            <w:tcMar>
              <w:top w:type="dxa" w:w="80"/>
              <w:left w:type="dxa" w:w="160"/>
              <w:bottom w:type="dxa" w:w="80"/>
              <w:right w:type="dxa" w:w="160"/>
            </w:tcMar>
          </w:tcPr>
          <w:p>
            <w:pPr>
              <w:spacing w:after="80" w:before="80"/>
            </w:pPr>
            <w:r>
              <w:rPr>
                <w:rFonts w:ascii="Calibri" w:cs="Calibri" w:eastAsia="Calibri" w:hAnsi="Calibri"/>
                <w:i/>
                <w:iCs/>
                <w:color w:val="1E3A5F"/>
                <w:sz w:val="22"/>
                <w:szCs w:val="22"/>
              </w:rPr>
              <w:t xml:space="preserve">ii) Adults become stronger swimmers</w:t>
            </w:r>
          </w:p>
        </w:tc>
        <w:tc>
          <w:tcPr>
            <w:tcW w:type="dxa" w:w="4200"/>
            <w:shd w:fill="DCFCE7" w:val="clear"/>
            <w:tcMar>
              <w:top w:type="dxa" w:w="80"/>
              <w:left w:type="dxa" w:w="160"/>
              <w:bottom w:type="dxa" w:w="80"/>
              <w:right w:type="dxa" w:w="160"/>
            </w:tcMar>
          </w:tcPr>
          <w:p>
            <w:pPr>
              <w:spacing w:after="80" w:before="80"/>
            </w:pPr>
            <w:r>
              <w:rPr>
                <w:rFonts w:ascii="Calibri" w:cs="Calibri" w:eastAsia="Calibri" w:hAnsi="Calibri"/>
                <w:b/>
                <w:bCs/>
                <w:color w:val="15803D"/>
                <w:sz w:val="22"/>
                <w:szCs w:val="22"/>
              </w:rPr>
              <w:t xml:space="preserve">✅ מוזכר — פסקה II</w:t>
            </w:r>
          </w:p>
        </w:tc>
      </w:tr>
      <w:tr>
        <w:tc>
          <w:tcPr>
            <w:tcW w:type="dxa" w:w="5400"/>
            <w:tcMar>
              <w:top w:type="dxa" w:w="80"/>
              <w:left w:type="dxa" w:w="160"/>
              <w:bottom w:type="dxa" w:w="80"/>
              <w:right w:type="dxa" w:w="160"/>
            </w:tcMar>
          </w:tcPr>
          <w:p>
            <w:pPr>
              <w:spacing w:after="80" w:before="80"/>
            </w:pPr>
            <w:r>
              <w:rPr>
                <w:rFonts w:ascii="Calibri" w:cs="Calibri" w:eastAsia="Calibri" w:hAnsi="Calibri"/>
                <w:i/>
                <w:iCs/>
                <w:color w:val="1E3A5F"/>
                <w:sz w:val="22"/>
                <w:szCs w:val="22"/>
              </w:rPr>
              <w:t xml:space="preserve">iii) The cost of adult swimming classes</w:t>
            </w:r>
          </w:p>
        </w:tc>
        <w:tc>
          <w:tcPr>
            <w:tcW w:type="dxa" w:w="4200"/>
            <w:shd w:fill="FEF2F2" w:val="clear"/>
            <w:tcMar>
              <w:top w:type="dxa" w:w="80"/>
              <w:left w:type="dxa" w:w="160"/>
              <w:bottom w:type="dxa" w:w="80"/>
              <w:right w:type="dxa" w:w="160"/>
            </w:tcMar>
          </w:tcPr>
          <w:p>
            <w:pPr>
              <w:spacing w:after="80" w:before="80"/>
            </w:pPr>
            <w:r>
              <w:rPr>
                <w:rFonts w:ascii="Calibri" w:cs="Calibri" w:eastAsia="Calibri" w:hAnsi="Calibri"/>
                <w:b/>
                <w:bCs/>
                <w:color w:val="DC2626"/>
                <w:sz w:val="22"/>
                <w:szCs w:val="22"/>
              </w:rPr>
              <w:t xml:space="preserve">❌ לא מוזכר! ← התשובה</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התשובה: iii — המחיר לא מוזכר.</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7C3AED"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4</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7C3AED"/>
                <w:sz w:val="22"/>
                <w:szCs w:val="22"/>
              </w:rPr>
              <w:t xml:space="preserve">TRY IT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I Learning to swim as an adult is more common than many people think. According to a recent survey, over 30% of adults in large cities cannot swim. Many of them feel embarrassed about this and never try to learn. However, experts say it is never too late.
II One study found that adults who learned to swim later in life often became stronger swimmers than those who learned as children. "Adults understand what the teacher explains and can correct their mistakes more quickly," says Dr. Anna Klein. "They are also not afraid to ask questions."
III Adult swimming classes are now available in most cities. Some programs meet only once a week, while others offer three sessions a week. According to instructors, adults who practice regularly usually make good progress in less than two months.</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7C3AED" w:sz="6"/>
              <w:left w:val="single" w:color="7C3AED" w:sz="18"/>
              <w:bottom w:val="single" w:color="7C3AED" w:sz="6"/>
              <w:right w:val="none"/>
            </w:tcBorders>
            <w:shd w:fill="D1FAF5" w:val="clear"/>
            <w:tcMar>
              <w:top w:type="dxa" w:w="160"/>
              <w:left w:type="dxa" w:w="240"/>
              <w:bottom w:type="dxa" w:w="160"/>
              <w:right w:type="dxa" w:w="240"/>
            </w:tcMar>
          </w:tcPr>
          <w:p>
            <w:pPr>
              <w:spacing w:after="80" w:before="80"/>
            </w:pPr>
            <w:r>
              <w:rPr>
                <w:rFonts w:ascii="Calibri" w:cs="Calibri" w:eastAsia="Calibri" w:hAnsi="Calibri"/>
                <w:b/>
                <w:bCs/>
                <w:color w:val="7C3AED"/>
                <w:sz w:val="22"/>
                <w:szCs w:val="22"/>
              </w:rPr>
              <w:t xml:space="preserve">❓ השאלה:</w:t>
            </w:r>
          </w:p>
          <w:p>
            <w:pPr>
              <w:spacing w:after="80" w:before="80"/>
            </w:pPr>
            <w:r>
              <w:rPr>
                <w:rFonts w:ascii="Calibri" w:cs="Calibri" w:eastAsia="Calibri" w:hAnsi="Calibri"/>
                <w:b/>
                <w:bCs/>
                <w:color w:val="7C3AED"/>
                <w:sz w:val="24"/>
                <w:szCs w:val="24"/>
              </w:rPr>
              <w:t xml:space="preserve">Which of the following does Dr. Klein NOT say?</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CBD5E1" w:sz="6"/>
              <w:left w:val="single" w:color="CBD5E1" w:sz="6"/>
              <w:bottom w:val="single" w:color="CBD5E1" w:sz="6"/>
              <w:right w:val="single" w:color="CBD5E1" w:sz="6"/>
            </w:tcBorders>
            <w:shd w:fill="FFFFFF" w:val="clear"/>
            <w:tcMar>
              <w:top w:type="dxa" w:w="120"/>
              <w:left w:type="dxa" w:w="240"/>
              <w:bottom w:type="dxa" w:w="120"/>
              <w:right w:type="dxa" w:w="240"/>
            </w:tcMar>
          </w:tcPr>
          <w:p>
            <w:pPr>
              <w:spacing w:after="80" w:before="80"/>
            </w:pPr>
            <w:r>
              <w:rPr>
                <w:rFonts w:ascii="Calibri" w:cs="Calibri" w:eastAsia="Calibri" w:hAnsi="Calibri"/>
                <w:color w:val="1E3A5F"/>
                <w:sz w:val="22"/>
                <w:szCs w:val="22"/>
              </w:rPr>
              <w:t xml:space="preserve">i) Adults understand explanations</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CBD5E1" w:sz="6"/>
              <w:left w:val="single" w:color="CBD5E1" w:sz="6"/>
              <w:bottom w:val="single" w:color="CBD5E1" w:sz="6"/>
              <w:right w:val="single" w:color="CBD5E1" w:sz="6"/>
            </w:tcBorders>
            <w:shd w:fill="FFFFFF" w:val="clear"/>
            <w:tcMar>
              <w:top w:type="dxa" w:w="120"/>
              <w:left w:type="dxa" w:w="240"/>
              <w:bottom w:type="dxa" w:w="120"/>
              <w:right w:type="dxa" w:w="240"/>
            </w:tcMar>
          </w:tcPr>
          <w:p>
            <w:pPr>
              <w:spacing w:after="80" w:before="80"/>
            </w:pPr>
            <w:r>
              <w:rPr>
                <w:rFonts w:ascii="Calibri" w:cs="Calibri" w:eastAsia="Calibri" w:hAnsi="Calibri"/>
                <w:color w:val="1E3A5F"/>
                <w:sz w:val="22"/>
                <w:szCs w:val="22"/>
              </w:rPr>
              <w:t xml:space="preserve">ii) Adults correct mistakes faster</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CBD5E1" w:sz="6"/>
              <w:left w:val="single" w:color="CBD5E1" w:sz="6"/>
              <w:bottom w:val="single" w:color="CBD5E1" w:sz="6"/>
              <w:right w:val="single" w:color="CBD5E1" w:sz="6"/>
            </w:tcBorders>
            <w:shd w:fill="FFFFFF" w:val="clear"/>
            <w:tcMar>
              <w:top w:type="dxa" w:w="120"/>
              <w:left w:type="dxa" w:w="240"/>
              <w:bottom w:type="dxa" w:w="120"/>
              <w:right w:type="dxa" w:w="240"/>
            </w:tcMar>
          </w:tcPr>
          <w:p>
            <w:pPr>
              <w:spacing w:after="80" w:before="80"/>
            </w:pPr>
            <w:r>
              <w:rPr>
                <w:rFonts w:ascii="Calibri" w:cs="Calibri" w:eastAsia="Calibri" w:hAnsi="Calibri"/>
                <w:color w:val="1E3A5F"/>
                <w:sz w:val="22"/>
                <w:szCs w:val="22"/>
              </w:rPr>
              <w:t xml:space="preserve">iii) Adults are not afraid to ask questions</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6"/>
              <w:bottom w:val="single" w:color="15803D" w:sz="6"/>
              <w:right w:val="single" w:color="15803D" w:sz="6"/>
            </w:tcBorders>
            <w:shd w:fill="DCFCE7" w:val="clear"/>
            <w:tcMar>
              <w:top w:type="dxa" w:w="120"/>
              <w:left w:type="dxa" w:w="240"/>
              <w:bottom w:type="dxa" w:w="120"/>
              <w:right w:type="dxa" w:w="240"/>
            </w:tcMar>
          </w:tcPr>
          <w:p>
            <w:pPr>
              <w:spacing w:after="80" w:before="80"/>
            </w:pPr>
            <w:r>
              <w:rPr>
                <w:rFonts w:ascii="Calibri" w:cs="Calibri" w:eastAsia="Calibri" w:hAnsi="Calibri"/>
                <w:color w:val="15803D"/>
                <w:sz w:val="22"/>
                <w:szCs w:val="22"/>
              </w:rPr>
              <w:t xml:space="preserve">✅  iv) Adults prefer group lessons</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נכון! Dr. Klein לא אמרה שמבוגרים מעדיפים שיעורים קבוצתיים.</w:t>
            </w:r>
          </w:p>
          <w:p>
            <w:pPr>
              <w:spacing w:after="80" w:before="80"/>
            </w:pPr>
            <w:r>
              <w:rPr>
                <w:rFonts w:ascii="Calibri" w:cs="Calibri" w:eastAsia="Calibri" w:hAnsi="Calibri"/>
                <w:sz w:val="22"/>
                <w:szCs w:val="22"/>
              </w:rPr>
              <w:t xml:space="preserve">כל שאר האפשרויות מוזכרות בפסקה II.</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DC2626"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5</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DC2626"/>
                <w:sz w:val="22"/>
                <w:szCs w:val="22"/>
              </w:rPr>
              <w:t xml:space="preserve">YOUR TURN</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I Learning to swim as an adult is more common than many people think. According to a recent survey, over 30% of adults in large cities cannot swim. Many of them feel embarrassed about this and never try to learn. However, experts say it is never too late.
II One study found that adults who learned to swim later in life often became stronger swimmers than those who learned as children. "Adults understand what the teacher explains and can correct their mistakes more quickly," says Dr. Anna Klein. "They are also not afraid to ask questions."
III Adult swimming classes are now available in most cities. Some programs meet only once a week, while others offer three sessions a week. According to instructors, adults who practice regularly usually make good progress in less than two months.</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DC2626" w:sz="6"/>
              <w:left w:val="single" w:color="DC2626" w:sz="18"/>
              <w:bottom w:val="single" w:color="DC2626" w:sz="6"/>
              <w:right w:val="none"/>
            </w:tcBorders>
            <w:shd w:fill="D1FAF5" w:val="clear"/>
            <w:tcMar>
              <w:top w:type="dxa" w:w="160"/>
              <w:left w:type="dxa" w:w="240"/>
              <w:bottom w:type="dxa" w:w="160"/>
              <w:right w:type="dxa" w:w="240"/>
            </w:tcMar>
          </w:tcPr>
          <w:p>
            <w:pPr>
              <w:spacing w:after="80" w:before="80"/>
            </w:pPr>
            <w:r>
              <w:rPr>
                <w:rFonts w:ascii="Calibri" w:cs="Calibri" w:eastAsia="Calibri" w:hAnsi="Calibri"/>
                <w:b/>
                <w:bCs/>
                <w:color w:val="DC2626"/>
                <w:sz w:val="22"/>
                <w:szCs w:val="22"/>
              </w:rPr>
              <w:t xml:space="preserve">❓ השאלה:</w:t>
            </w:r>
          </w:p>
          <w:p>
            <w:pPr>
              <w:spacing w:after="80" w:before="80"/>
            </w:pPr>
            <w:r>
              <w:rPr>
                <w:rFonts w:ascii="Calibri" w:cs="Calibri" w:eastAsia="Calibri" w:hAnsi="Calibri"/>
                <w:b/>
                <w:bCs/>
                <w:color w:val="DC2626"/>
                <w:sz w:val="24"/>
                <w:szCs w:val="24"/>
              </w:rPr>
              <w:t xml:space="preserve">Which is NOT true about adult swimming classes? (paragraph III)</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CBD5E1" w:sz="6"/>
              <w:left w:val="single" w:color="CBD5E1" w:sz="6"/>
              <w:bottom w:val="single" w:color="CBD5E1" w:sz="6"/>
              <w:right w:val="single" w:color="CBD5E1" w:sz="6"/>
            </w:tcBorders>
            <w:shd w:fill="FFFFFF" w:val="clear"/>
            <w:tcMar>
              <w:top w:type="dxa" w:w="120"/>
              <w:left w:type="dxa" w:w="240"/>
              <w:bottom w:type="dxa" w:w="120"/>
              <w:right w:type="dxa" w:w="240"/>
            </w:tcMar>
          </w:tcPr>
          <w:p>
            <w:pPr>
              <w:spacing w:after="80" w:before="80"/>
            </w:pPr>
            <w:r>
              <w:rPr>
                <w:rFonts w:ascii="Calibri" w:cs="Calibri" w:eastAsia="Calibri" w:hAnsi="Calibri"/>
                <w:color w:val="1E3A5F"/>
                <w:sz w:val="22"/>
                <w:szCs w:val="22"/>
              </w:rPr>
              <w:t xml:space="preserve">i) Classes meet once or three times a week</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6"/>
              <w:bottom w:val="single" w:color="15803D" w:sz="6"/>
              <w:right w:val="single" w:color="15803D" w:sz="6"/>
            </w:tcBorders>
            <w:shd w:fill="DCFCE7" w:val="clear"/>
            <w:tcMar>
              <w:top w:type="dxa" w:w="120"/>
              <w:left w:type="dxa" w:w="240"/>
              <w:bottom w:type="dxa" w:w="120"/>
              <w:right w:type="dxa" w:w="240"/>
            </w:tcMar>
          </w:tcPr>
          <w:p>
            <w:pPr>
              <w:spacing w:after="80" w:before="80"/>
            </w:pPr>
            <w:r>
              <w:rPr>
                <w:rFonts w:ascii="Calibri" w:cs="Calibri" w:eastAsia="Calibri" w:hAnsi="Calibri"/>
                <w:color w:val="15803D"/>
                <w:sz w:val="22"/>
                <w:szCs w:val="22"/>
              </w:rPr>
              <w:t xml:space="preserve">✅  ii) Classes are free for adults over 30</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CBD5E1" w:sz="6"/>
              <w:left w:val="single" w:color="CBD5E1" w:sz="6"/>
              <w:bottom w:val="single" w:color="CBD5E1" w:sz="6"/>
              <w:right w:val="single" w:color="CBD5E1" w:sz="6"/>
            </w:tcBorders>
            <w:shd w:fill="FFFFFF" w:val="clear"/>
            <w:tcMar>
              <w:top w:type="dxa" w:w="120"/>
              <w:left w:type="dxa" w:w="240"/>
              <w:bottom w:type="dxa" w:w="120"/>
              <w:right w:type="dxa" w:w="240"/>
            </w:tcMar>
          </w:tcPr>
          <w:p>
            <w:pPr>
              <w:spacing w:after="80" w:before="80"/>
            </w:pPr>
            <w:r>
              <w:rPr>
                <w:rFonts w:ascii="Calibri" w:cs="Calibri" w:eastAsia="Calibri" w:hAnsi="Calibri"/>
                <w:color w:val="1E3A5F"/>
                <w:sz w:val="22"/>
                <w:szCs w:val="22"/>
              </w:rPr>
              <w:t xml:space="preserve">iii) Adults who practice make good progress</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CBD5E1" w:sz="6"/>
              <w:left w:val="single" w:color="CBD5E1" w:sz="6"/>
              <w:bottom w:val="single" w:color="CBD5E1" w:sz="6"/>
              <w:right w:val="single" w:color="CBD5E1" w:sz="6"/>
            </w:tcBorders>
            <w:shd w:fill="FFFFFF" w:val="clear"/>
            <w:tcMar>
              <w:top w:type="dxa" w:w="120"/>
              <w:left w:type="dxa" w:w="240"/>
              <w:bottom w:type="dxa" w:w="120"/>
              <w:right w:type="dxa" w:w="240"/>
            </w:tcMar>
          </w:tcPr>
          <w:p>
            <w:pPr>
              <w:spacing w:after="80" w:before="80"/>
            </w:pPr>
            <w:r>
              <w:rPr>
                <w:rFonts w:ascii="Calibri" w:cs="Calibri" w:eastAsia="Calibri" w:hAnsi="Calibri"/>
                <w:color w:val="1E3A5F"/>
                <w:sz w:val="22"/>
                <w:szCs w:val="22"/>
              </w:rPr>
              <w:t xml:space="preserve">iv) Progress takes less than two months</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"Free for adults over 30" — לא מוזכר בטקסט בכלל.</w:t>
            </w:r>
          </w:p>
          <w:p>
            <w:pPr>
              <w:spacing w:after="80" w:before="80"/>
            </w:pPr>
            <w:r>
              <w:rPr>
                <w:rFonts w:ascii="Calibri" w:cs="Calibri" w:eastAsia="Calibri" w:hAnsi="Calibri"/>
                <w:sz w:val="22"/>
                <w:szCs w:val="22"/>
              </w:rPr>
              <w:t xml:space="preserve">בדקת שלושת האחרות — הן כן מוזכרות. לכן ii היא התשובה.</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1E3A5F"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6</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1E3A5F"/>
                <w:sz w:val="22"/>
                <w:szCs w:val="22"/>
              </w:rPr>
              <w:t xml:space="preserve">ONE SENTENCE — המשפט שיוצאים איתו</w:t>
            </w:r>
          </w:p>
        </w:tc>
      </w:tr>
    </w:tbl>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1E3A5F"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"ראיתי NOT? אני ציד — מחפש מה לא נכון."</w:t>
            </w:r>
          </w:p>
          <w:p>
            <w:pPr>
              <w:spacing w:after="120" w:before="10"/>
            </w:pPr>
          </w:p>
        </w:tc>
      </w:tr>
    </w:tbl>
    <w:p>
      <w:pPr>
        <w:spacing w:after="50" w:before="50"/>
      </w:pPr>
    </w:p>
    <w:p>
      <w:pPr>
        <w:spacing w:after="50" w:before="50"/>
      </w:pPr>
    </w:p>
    <w:p>
      <w:pPr>
        <w:spacing w:after="80" w:before="80"/>
      </w:pPr>
      <w:r>
        <w:rPr>
          <w:rFonts w:ascii="Calibri" w:cs="Calibri" w:eastAsia="Calibri" w:hAnsi="Calibri"/>
          <w:b/>
          <w:bCs/>
          <w:color w:val="0D7A6E"/>
          <w:sz w:val="22"/>
          <w:szCs w:val="22"/>
        </w:rPr>
        <w:t xml:space="preserve">✏️ כתוב את המשפט הזה במחברת שלך.</w:t>
      </w:r>
    </w:p>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שיעור הושלם!</w:t>
            </w:r>
          </w:p>
          <w:p>
            <w:pPr>
              <w:spacing w:after="50" w:before="50"/>
            </w:pPr>
          </w:p>
          <w:p>
            <w:pPr>
              <w:spacing w:after="80" w:before="80"/>
            </w:pPr>
            <w:r>
              <w:rPr>
                <w:rFonts w:ascii="Calibri" w:cs="Calibri" w:eastAsia="Calibri" w:hAnsi="Calibri"/>
                <w:sz w:val="22"/>
                <w:szCs w:val="22"/>
              </w:rPr>
              <w:t xml:space="preserve">השיעור הבא: </w:t>
            </w:r>
            <w:r>
              <w:rPr>
                <w:rFonts w:ascii="Calibri" w:cs="Calibri" w:eastAsia="Calibri" w:hAnsi="Calibri"/>
                <w:b/>
                <w:bCs/>
                <w:color w:val="0D7A6E"/>
                <w:sz w:val="22"/>
                <w:szCs w:val="22"/>
              </w:rPr>
              <w:t xml:space="preserve">"most / only"</w:t>
            </w:r>
          </w:p>
          <w:p>
            <w:pPr>
              <w:spacing w:after="80" w:before="80"/>
            </w:pPr>
            <w:r>
              <w:rPr>
                <w:rFonts w:ascii="Calibri" w:cs="Calibri" w:eastAsia="Calibri" w:hAnsi="Calibri"/>
                <w:sz w:val="22"/>
                <w:szCs w:val="22"/>
              </w:rPr>
              <w:t xml:space="preserve">בשיעורים הבאים נמשיך לבנות את הכלים שלך — צעד אחר צעד.</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2026-09-05T15:56:18.392Z</dcterms:created>
  <dcterms:modified xsi:type="dcterms:W3CDTF">2026-09-05T15:56:18.392Z</dcterms:modified>
</cp:coreProperties>
</file>

<file path=docProps/custom.xml><?xml version="1.0" encoding="utf-8"?>
<Properties xmlns="http://schemas.openxmlformats.org/officeDocument/2006/custom-properties" xmlns:vt="http://schemas.openxmlformats.org/officeDocument/2006/docPropsVTypes"/>
</file>