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06"/>
        <w:tblBorders>
          <w:top w:val="none"/>
          <w:left w:val="none"/>
          <w:bottom w:val="none"/>
          <w:right w:val="none"/>
          <w:insideH w:val="none"/>
          <w:insideV w:val="none"/>
        </w:tblBorders>
      </w:tblPr>
      <w:tblGrid>
        <w:gridCol w:w="2400"/>
        <w:gridCol w:w="4606"/>
        <w:gridCol w:w="2400"/>
      </w:tblGrid>
      <w:tr>
        <w:tc>
          <w:tcPr>
            <w:tcW w:type="dxa" w:w="2400"/>
            <w:tcBorders>
              <w:top w:val="none"/>
              <w:left w:val="none"/>
              <w:bottom w:val="none"/>
              <w:right w:val="none"/>
            </w:tcBorders>
            <w:vAlign w:val="center"/>
          </w:tcPr>
          <w:p>
            <w:pPr>
              <w:jc w:val="center"/>
            </w:pPr>
            <w:r>
              <w:drawing>
                <wp:inline distT="0" distB="0" distL="0" distR="0">
                  <wp:extent cx="10477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38225"/>
                          </a:xfrm>
                          <a:prstGeom prst="rect">
                            <a:avLst/>
                          </a:prstGeom>
                        </pic:spPr>
                      </pic:pic>
                    </a:graphicData>
                  </a:graphic>
                </wp:inline>
              </w:drawing>
            </w:r>
          </w:p>
        </w:tc>
        <w:tc>
          <w:tcPr>
            <w:tcW w:type="dxa" w:w="4606"/>
            <w:tcBorders>
              <w:top w:val="none"/>
              <w:left w:val="none"/>
              <w:bottom w:val="none"/>
              <w:right w:val="none"/>
            </w:tcBorders>
            <w:vAlign w:val="center"/>
          </w:tcPr>
          <w:p>
            <w:pPr>
              <w:bidi/>
              <w:spacing w:after="60"/>
              <w:jc w:val="center"/>
            </w:pPr>
            <w:r>
              <w:rPr>
                <w:rFonts w:ascii="Times New Roman" w:cs="Times New Roman" w:eastAsia="Times New Roman" w:hAnsi="Times New Roman"/>
                <w:sz w:val="22"/>
                <w:szCs w:val="22"/>
                <w:rtl/>
              </w:rPr>
              <w:t xml:space="preserve">الجمهورية العربية السورية</w:t>
            </w:r>
          </w:p>
          <w:p>
            <w:pPr>
              <w:bidi/>
              <w:spacing w:after="60"/>
              <w:jc w:val="center"/>
            </w:pPr>
            <w:r>
              <w:rPr>
                <w:rFonts w:ascii="Times New Roman" w:cs="Times New Roman" w:eastAsia="Times New Roman" w:hAnsi="Times New Roman"/>
                <w:sz w:val="22"/>
                <w:szCs w:val="22"/>
                <w:rtl/>
              </w:rPr>
              <w:t xml:space="preserve">وزارة التعليم العالي والبحث العلمي</w:t>
            </w:r>
          </w:p>
          <w:p>
            <w:pPr>
              <w:bidi/>
              <w:spacing w:after="60"/>
              <w:jc w:val="center"/>
            </w:pPr>
            <w:r>
              <w:rPr>
                <w:rFonts w:ascii="Times New Roman" w:cs="Times New Roman" w:eastAsia="Times New Roman" w:hAnsi="Times New Roman"/>
                <w:sz w:val="22"/>
                <w:szCs w:val="22"/>
                <w:rtl/>
              </w:rPr>
              <w:t xml:space="preserve">الجامعة السورية الخاصة</w:t>
            </w:r>
          </w:p>
        </w:tc>
        <w:tc>
          <w:tcPr>
            <w:tcW w:type="dxa" w:w="2400"/>
            <w:tcBorders>
              <w:top w:val="none"/>
              <w:left w:val="none"/>
              <w:bottom w:val="none"/>
              <w:right w:val="none"/>
            </w:tcBorders>
            <w:vAlign w:val="center"/>
          </w:tcPr>
          <w:p>
            <w:pPr>
              <w:jc w:val="center"/>
            </w:pPr>
            <w:r>
              <w:drawing>
                <wp:inline distT="0" distB="0" distL="0" distR="0">
                  <wp:extent cx="1333500" cy="847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3500" cy="847725"/>
                          </a:xfrm>
                          <a:prstGeom prst="rect">
                            <a:avLst/>
                          </a:prstGeom>
                        </pic:spPr>
                      </pic:pic>
                    </a:graphicData>
                  </a:graphic>
                </wp:inline>
              </w:drawing>
            </w:r>
          </w:p>
        </w:tc>
      </w:tr>
    </w:tbl>
    <w:p>
      <w:pPr>
        <w:spacing w:after="1400"/>
        <w:jc w:val="center"/>
      </w:pPr>
      <w:r>
        <w:rPr>
          <w:rFonts w:ascii="Times New Roman" w:cs="Times New Roman" w:eastAsia="Times New Roman" w:hAnsi="Times New Roman"/>
          <w:b w:val="false"/>
          <w:bCs w:val="false"/>
          <w:sz w:val="24"/>
          <w:szCs w:val="24"/>
        </w:rPr>
        <w:t xml:space="preserve"/>
      </w:r>
    </w:p>
    <w:p>
      <w:pPr>
        <w:spacing w:after="120"/>
        <w:jc w:val="center"/>
      </w:pPr>
      <w:r>
        <w:rPr>
          <w:rFonts w:ascii="Times New Roman" w:cs="Times New Roman" w:eastAsia="Times New Roman" w:hAnsi="Times New Roman"/>
          <w:b/>
          <w:bCs/>
          <w:sz w:val="44"/>
          <w:szCs w:val="44"/>
        </w:rPr>
        <w:t xml:space="preserve">Smart Survey Platform</w:t>
      </w:r>
    </w:p>
    <w:p>
      <w:pPr>
        <w:spacing w:after="120"/>
        <w:jc w:val="center"/>
      </w:pPr>
      <w:r>
        <w:rPr>
          <w:rFonts w:ascii="Times New Roman" w:cs="Times New Roman" w:eastAsia="Times New Roman" w:hAnsi="Times New Roman"/>
          <w:b/>
          <w:bCs/>
          <w:sz w:val="32"/>
          <w:szCs w:val="32"/>
        </w:rPr>
        <w:t xml:space="preserve">Graduation Project 1 Report</w:t>
      </w:r>
    </w:p>
    <w:p>
      <w:pPr>
        <w:spacing w:after="600"/>
        <w:jc w:val="center"/>
      </w:pPr>
      <w:r>
        <w:rPr>
          <w:rFonts w:ascii="Times New Roman" w:cs="Times New Roman" w:eastAsia="Times New Roman" w:hAnsi="Times New Roman"/>
          <w:b w:val="false"/>
          <w:bCs w:val="false"/>
          <w:sz w:val="24"/>
          <w:szCs w:val="24"/>
        </w:rPr>
        <w:t xml:space="preserve">Chapters 1–3 (draft for supervisor review, 28 October 2026)</w:t>
      </w:r>
    </w:p>
    <w:p>
      <w:pPr>
        <w:spacing w:after="80"/>
        <w:jc w:val="center"/>
      </w:pPr>
      <w:r>
        <w:rPr>
          <w:rFonts w:ascii="Times New Roman" w:cs="Times New Roman" w:eastAsia="Times New Roman" w:hAnsi="Times New Roman"/>
          <w:b/>
          <w:bCs/>
          <w:sz w:val="28"/>
          <w:szCs w:val="28"/>
        </w:rPr>
        <w:t xml:space="preserve">Prepared by:</w:t>
      </w:r>
    </w:p>
    <w:p>
      <w:pPr>
        <w:spacing w:after="80"/>
        <w:jc w:val="center"/>
      </w:pPr>
      <w:r>
        <w:rPr>
          <w:rFonts w:ascii="Times New Roman" w:cs="Times New Roman" w:eastAsia="Times New Roman" w:hAnsi="Times New Roman"/>
          <w:b w:val="false"/>
          <w:bCs w:val="false"/>
          <w:sz w:val="24"/>
          <w:szCs w:val="24"/>
        </w:rPr>
        <w:t xml:space="preserve">Yaman Bassam Almatar</w:t>
      </w:r>
    </w:p>
    <w:p>
      <w:pPr>
        <w:spacing w:after="80"/>
        <w:jc w:val="center"/>
      </w:pPr>
      <w:r>
        <w:rPr>
          <w:rFonts w:ascii="Times New Roman" w:cs="Times New Roman" w:eastAsia="Times New Roman" w:hAnsi="Times New Roman"/>
          <w:b w:val="false"/>
          <w:bCs w:val="false"/>
          <w:sz w:val="24"/>
          <w:szCs w:val="24"/>
        </w:rPr>
        <w:t xml:space="preserve">Yousef Ahmad Alzoubi</w:t>
      </w:r>
    </w:p>
    <w:p>
      <w:pPr>
        <w:spacing w:after="300"/>
        <w:jc w:val="center"/>
      </w:pPr>
      <w:r>
        <w:rPr>
          <w:rFonts w:ascii="Times New Roman" w:cs="Times New Roman" w:eastAsia="Times New Roman" w:hAnsi="Times New Roman"/>
          <w:b w:val="false"/>
          <w:bCs w:val="false"/>
          <w:sz w:val="24"/>
          <w:szCs w:val="24"/>
        </w:rPr>
        <w:t xml:space="preserve">Hasan Abdalruhman Yahya</w:t>
      </w:r>
    </w:p>
    <w:p>
      <w:pPr>
        <w:spacing w:after="80"/>
        <w:jc w:val="center"/>
      </w:pPr>
      <w:r>
        <w:rPr>
          <w:rFonts w:ascii="Times New Roman" w:cs="Times New Roman" w:eastAsia="Times New Roman" w:hAnsi="Times New Roman"/>
          <w:b/>
          <w:bCs/>
          <w:sz w:val="28"/>
          <w:szCs w:val="28"/>
        </w:rPr>
        <w:t xml:space="preserve">Supervised by:</w:t>
      </w:r>
    </w:p>
    <w:p>
      <w:pPr>
        <w:spacing w:after="80"/>
        <w:jc w:val="center"/>
      </w:pPr>
      <w:r>
        <w:rPr>
          <w:rFonts w:ascii="Times New Roman" w:cs="Times New Roman" w:eastAsia="Times New Roman" w:hAnsi="Times New Roman"/>
          <w:b w:val="false"/>
          <w:bCs w:val="false"/>
          <w:sz w:val="24"/>
          <w:szCs w:val="24"/>
        </w:rPr>
        <w:t xml:space="preserve">Eng. Shadi Blidi</w:t>
      </w:r>
    </w:p>
    <w:p>
      <w:pPr>
        <w:spacing w:after="300"/>
        <w:jc w:val="center"/>
      </w:pPr>
      <w:r>
        <w:rPr>
          <w:rFonts w:ascii="Times New Roman" w:cs="Times New Roman" w:eastAsia="Times New Roman" w:hAnsi="Times New Roman"/>
          <w:b w:val="false"/>
          <w:bCs w:val="false"/>
          <w:sz w:val="24"/>
          <w:szCs w:val="24"/>
        </w:rPr>
        <w:t xml:space="preserve">Eng. Mohammad Amer Khorshid</w:t>
      </w:r>
    </w:p>
    <w:p>
      <w:pPr>
        <w:spacing w:after="80"/>
        <w:jc w:val="center"/>
      </w:pPr>
      <w:r>
        <w:rPr>
          <w:rFonts w:ascii="Times New Roman" w:cs="Times New Roman" w:eastAsia="Times New Roman" w:hAnsi="Times New Roman"/>
          <w:b w:val="false"/>
          <w:bCs w:val="false"/>
          <w:sz w:val="22"/>
          <w:szCs w:val="22"/>
        </w:rPr>
        <w:t xml:space="preserve">Faculty of Artificial Intelligence Engineering</w:t>
      </w:r>
    </w:p>
    <w:p>
      <w:pPr>
        <w:spacing w:after="300"/>
        <w:jc w:val="center"/>
      </w:pPr>
      <w:r>
        <w:rPr>
          <w:rFonts w:ascii="Times New Roman" w:cs="Times New Roman" w:eastAsia="Times New Roman" w:hAnsi="Times New Roman"/>
          <w:b w:val="false"/>
          <w:bCs w:val="false"/>
          <w:sz w:val="22"/>
          <w:szCs w:val="22"/>
        </w:rPr>
        <w:t xml:space="preserve">Department of Software Engineering and Information Systems</w:t>
      </w:r>
    </w:p>
    <w:p>
      <w:pPr>
        <w:spacing w:after="40"/>
        <w:jc w:val="center"/>
      </w:pPr>
      <w:r>
        <w:rPr>
          <w:rFonts w:ascii="Times New Roman" w:cs="Times New Roman" w:eastAsia="Times New Roman" w:hAnsi="Times New Roman"/>
          <w:b/>
          <w:bCs/>
          <w:sz w:val="20"/>
          <w:szCs w:val="20"/>
        </w:rPr>
        <w:t xml:space="preserve">Project Repository:</w:t>
      </w:r>
    </w:p>
    <w:p>
      <w:pPr>
        <w:spacing w:after="900"/>
        <w:jc w:val="center"/>
      </w:pPr>
      <w:r>
        <w:rPr>
          <w:rFonts w:ascii="Times New Roman" w:cs="Times New Roman" w:eastAsia="Times New Roman" w:hAnsi="Times New Roman"/>
          <w:b w:val="false"/>
          <w:bCs w:val="false"/>
          <w:sz w:val="20"/>
          <w:szCs w:val="20"/>
        </w:rPr>
        <w:t xml:space="preserve">https://github.com/Yaman8almatar/smart-survey-platform</w:t>
      </w:r>
    </w:p>
    <w:p>
      <w:pPr>
        <w:spacing w:after="40"/>
        <w:jc w:val="center"/>
      </w:pPr>
      <w:r>
        <w:rPr>
          <w:rFonts w:ascii="Times New Roman" w:cs="Times New Roman" w:eastAsia="Times New Roman" w:hAnsi="Times New Roman"/>
          <w:b w:val="false"/>
          <w:bCs w:val="false"/>
          <w:sz w:val="22"/>
          <w:szCs w:val="22"/>
        </w:rPr>
        <w:t xml:space="preserve">Academic Year</w:t>
      </w:r>
    </w:p>
    <w:p>
      <w:pPr>
        <w:spacing w:after="0"/>
        <w:jc w:val="center"/>
      </w:pPr>
      <w:r>
        <w:rPr>
          <w:rFonts w:ascii="Times New Roman" w:cs="Times New Roman" w:eastAsia="Times New Roman" w:hAnsi="Times New Roman"/>
          <w:b/>
          <w:bCs/>
          <w:sz w:val="22"/>
          <w:szCs w:val="22"/>
        </w:rPr>
        <w:t xml:space="preserve">2026 – 2027</w:t>
      </w:r>
    </w:p>
    <w:p>
      <w:pPr>
        <w:pageBreakBefore/>
        <w:spacing w:after="24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pPr>
        <w:pageBreakBefore/>
        <w:spacing w:after="24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pPr>
        <w:pageBreakBefore/>
        <w:spacing w:after="24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pPr>
        <w:sectPr>
          <w:footerReference w:type="default" r:id="rId6"/>
          <w:pgSz w:w="12240" w:h="15840" w:orient="portrait"/>
          <w:pgMar w:top="1417" w:right="1417" w:bottom="1417" w:left="1417" w:header="708" w:footer="708" w:gutter="0"/>
          <w:pgNumType w:start="1" w:fmt="upperRoman"/>
          <w:docGrid w:linePitch="360"/>
        </w:sectPr>
      </w:pPr>
    </w:p>
    <w:p>
      <w:pPr>
        <w:pStyle w:val="Heading1"/>
      </w:pPr>
      <w:r>
        <w:rPr>
          <w:rFonts w:ascii="Times New Roman" w:cs="Times New Roman" w:eastAsia="Times New Roman" w:hAnsi="Times New Roman"/>
        </w:rPr>
        <w:t xml:space="preserve">Section One: Project Introduction</w:t>
      </w:r>
    </w:p>
    <w:p>
      <w:pPr>
        <w:pStyle w:val="Heading2"/>
      </w:pPr>
      <w:r>
        <w:rPr>
          <w:rFonts w:ascii="Times New Roman" w:cs="Times New Roman" w:eastAsia="Times New Roman" w:hAnsi="Times New Roman"/>
        </w:rPr>
        <w:t xml:space="preserve">Chapter 1: General Introduction</w:t>
      </w:r>
    </w:p>
    <w:p>
      <w:pPr>
        <w:pStyle w:val="Heading3"/>
      </w:pPr>
      <w:r>
        <w:rPr>
          <w:rFonts w:ascii="Times New Roman" w:cs="Times New Roman" w:eastAsia="Times New Roman" w:hAnsi="Times New Roman"/>
        </w:rPr>
        <w:t xml:space="preserve">1.1 Project Overview and Background</w:t>
      </w:r>
    </w:p>
    <w:p>
      <w:pPr>
        <w:spacing w:after="120" w:line="276" w:lineRule="auto"/>
        <w:jc w:val="both"/>
      </w:pPr>
      <w:r>
        <w:rPr>
          <w:rFonts w:ascii="Times New Roman" w:cs="Times New Roman" w:eastAsia="Times New Roman" w:hAnsi="Times New Roman"/>
        </w:rPr>
        <w:t xml:space="preserve">Organisations use surveys to decide how to improve services, products and policies, but a survey result is only as reliable as the people who answered it and the care they took. Online distribution has made surveys cheap to send. It has also made them easy to answer carelessly, fraudulently, or by people outside the intended audience. Open-text answers, which often hold the most useful feedback, are the hardest part of a survey to analyse at scale.</w:t>
      </w:r>
    </w:p>
    <w:p>
      <w:pPr>
        <w:spacing w:after="120" w:line="276" w:lineRule="auto"/>
        <w:jc w:val="both"/>
      </w:pPr>
      <w:r>
        <w:rPr>
          <w:rFonts w:ascii="Times New Roman" w:cs="Times New Roman" w:eastAsia="Times New Roman" w:hAnsi="Times New Roman"/>
        </w:rPr>
        <w:t xml:space="preserve">The Smart Survey Platform continues the junior project, the </w:t>
      </w:r>
      <w:r>
        <w:rPr>
          <w:rFonts w:ascii="Times New Roman" w:cs="Times New Roman" w:eastAsia="Times New Roman" w:hAnsi="Times New Roman"/>
          <w:b/>
          <w:bCs/>
        </w:rPr>
        <w:t xml:space="preserve">Smart Opinion Survey Platform (V1.0)</w:t>
      </w:r>
      <w:r>
        <w:rPr>
          <w:rFonts w:ascii="Times New Roman" w:cs="Times New Roman" w:eastAsia="Times New Roman" w:hAnsi="Times New Roman"/>
        </w:rPr>
        <w:t xml:space="preserve">, developed between 1 March and 11 May 2026. V1.0 is a Django web application in which service providers create surveys with demographic targeting criteria, respondents with a stored demographic profile see only the surveys that match them, a database constraint prevents duplicate responses, and open-text answers are sent to an external sentiment model. It was delivered with 22 functional requirements, 10 non-functional requirements, 7 UML diagrams, 9 database entities, 22 web pages and 163 passing automated tests.</w:t>
      </w:r>
    </w:p>
    <w:p>
      <w:pPr>
        <w:spacing w:after="120" w:line="276" w:lineRule="auto"/>
        <w:jc w:val="both"/>
      </w:pPr>
      <w:r>
        <w:rPr>
          <w:rFonts w:ascii="Times New Roman" w:cs="Times New Roman" w:eastAsia="Times New Roman" w:hAnsi="Times New Roman"/>
        </w:rPr>
        <w:t xml:space="preserve">Graduation Project 1 extends V1.0 in three directions that answer the limits of the junior project and the supervisors' feedback. First, a </w:t>
      </w:r>
      <w:r>
        <w:rPr>
          <w:rFonts w:ascii="Times New Roman" w:cs="Times New Roman" w:eastAsia="Times New Roman" w:hAnsi="Times New Roman"/>
          <w:b/>
          <w:bCs/>
        </w:rPr>
        <w:t xml:space="preserve">Flutter mobile application</w:t>
      </w:r>
      <w:r>
        <w:rPr>
          <w:rFonts w:ascii="Times New Roman" w:cs="Times New Roman" w:eastAsia="Times New Roman" w:hAnsi="Times New Roman"/>
        </w:rPr>
        <w:t xml:space="preserve"> replaces the static respondent web pages. Second, an </w:t>
      </w:r>
      <w:r>
        <w:rPr>
          <w:rFonts w:ascii="Times New Roman" w:cs="Times New Roman" w:eastAsia="Times New Roman" w:hAnsi="Times New Roman"/>
          <w:b/>
          <w:bCs/>
        </w:rPr>
        <w:t xml:space="preserve">extended demographic profile</w:t>
      </w:r>
      <w:r>
        <w:rPr>
          <w:rFonts w:ascii="Times New Roman" w:cs="Times New Roman" w:eastAsia="Times New Roman" w:hAnsi="Times New Roman"/>
        </w:rPr>
        <w:t xml:space="preserve"> supports richer targeting, and a </w:t>
      </w:r>
      <w:r>
        <w:rPr>
          <w:rFonts w:ascii="Times New Roman" w:cs="Times New Roman" w:eastAsia="Times New Roman" w:hAnsi="Times New Roman"/>
          <w:b/>
          <w:bCs/>
        </w:rPr>
        <w:t xml:space="preserve">response-quality engine</w:t>
      </w:r>
      <w:r>
        <w:rPr>
          <w:rFonts w:ascii="Times New Roman" w:cs="Times New Roman" w:eastAsia="Times New Roman" w:hAnsi="Times New Roman"/>
        </w:rPr>
        <w:t xml:space="preserve"> flags low-quality responses. Third, </w:t>
      </w:r>
      <w:r>
        <w:rPr>
          <w:rFonts w:ascii="Times New Roman" w:cs="Times New Roman" w:eastAsia="Times New Roman" w:hAnsi="Times New Roman"/>
          <w:b/>
          <w:bCs/>
        </w:rPr>
        <w:t xml:space="preserve">sentiment analysis of Arabic (Modern Standard Arabic) and English</w:t>
      </w:r>
      <w:r>
        <w:rPr>
          <w:rFonts w:ascii="Times New Roman" w:cs="Times New Roman" w:eastAsia="Times New Roman" w:hAnsi="Times New Roman"/>
        </w:rPr>
        <w:t xml:space="preserve"> answers uses a model chosen by a measured comparison. Provider and administrator interfaces remain web pages served by Django. The platform is aimed at survey owners and respondents in Syria.</w:t>
      </w:r>
    </w:p>
    <w:p>
      <w:pPr>
        <w:pStyle w:val="Heading3"/>
      </w:pPr>
      <w:r>
        <w:rPr>
          <w:rFonts w:ascii="Times New Roman" w:cs="Times New Roman" w:eastAsia="Times New Roman" w:hAnsi="Times New Roman"/>
        </w:rPr>
        <w:t xml:space="preserve">1.2 Problem Statement and Academic Importance</w:t>
      </w:r>
    </w:p>
    <w:p>
      <w:pPr>
        <w:spacing w:after="120" w:line="276" w:lineRule="auto"/>
        <w:jc w:val="both"/>
      </w:pPr>
      <w:r>
        <w:rPr>
          <w:rFonts w:ascii="Times New Roman" w:cs="Times New Roman" w:eastAsia="Times New Roman" w:hAnsi="Times New Roman"/>
        </w:rPr>
        <w:t xml:space="preserve">The project addresses three related problems.</w:t>
      </w:r>
    </w:p>
    <w:p>
      <w:pPr>
        <w:spacing w:after="120" w:line="276" w:lineRule="auto"/>
        <w:jc w:val="both"/>
      </w:pPr>
      <w:r>
        <w:rPr>
          <w:rFonts w:ascii="Times New Roman" w:cs="Times New Roman" w:eastAsia="Times New Roman" w:hAnsi="Times New Roman"/>
          <w:b/>
          <w:bCs/>
        </w:rPr>
        <w:t xml:space="preserve">No reviewed panel serves Syria.</w:t>
      </w:r>
      <w:r>
        <w:rPr>
          <w:rFonts w:ascii="Times New Roman" w:cs="Times New Roman" w:eastAsia="Times New Roman" w:hAnsi="Times New Roman"/>
        </w:rPr>
        <w:t xml:space="preserve"> A survey owner in Syria who needs respondents matched by profile has no suitable option among the platforms reviewed in Chapter 3. The panels that target respondents by a stored profile do not list Syria: SurveyMonkey Audience [1] and Prolific [2] do not include it, and Pollfish does not list Arabic among its survey languages [3]. The general survey builders distribute a link, but they do not select respondents by profile.</w:t>
      </w:r>
    </w:p>
    <w:p>
      <w:pPr>
        <w:spacing w:after="120" w:line="276" w:lineRule="auto"/>
        <w:jc w:val="both"/>
      </w:pPr>
      <w:r>
        <w:rPr>
          <w:rFonts w:ascii="Times New Roman" w:cs="Times New Roman" w:eastAsia="Times New Roman" w:hAnsi="Times New Roman"/>
          <w:b/>
          <w:bCs/>
        </w:rPr>
        <w:t xml:space="preserve">Quality controls are mostly single-layer.</w:t>
      </w:r>
      <w:r>
        <w:rPr>
          <w:rFonts w:ascii="Times New Roman" w:cs="Times New Roman" w:eastAsia="Times New Roman" w:hAnsi="Times New Roman"/>
        </w:rPr>
        <w:t xml:space="preserve"> Builders typically offer one response per account or a CAPTCHA, while the evidence shows that one control is not enough. In a study that recruited participants through an open social-media link, 94.5% of 271 completed responses were fraudulent, and all of them passed the CAPTCHA [4]. More recent work shows that automated agents built on large language models now pass attention checks as well (Section 3.1).</w:t>
      </w:r>
    </w:p>
    <w:p>
      <w:pPr>
        <w:spacing w:after="120" w:line="276" w:lineRule="auto"/>
        <w:jc w:val="both"/>
      </w:pPr>
      <w:r>
        <w:rPr>
          <w:rFonts w:ascii="Times New Roman" w:cs="Times New Roman" w:eastAsia="Times New Roman" w:hAnsi="Times New Roman"/>
          <w:b/>
          <w:bCs/>
        </w:rPr>
        <w:t xml:space="preserve">Automated analysis of open answers is paid and mostly English.</w:t>
      </w:r>
      <w:r>
        <w:rPr>
          <w:rFonts w:ascii="Times New Roman" w:cs="Times New Roman" w:eastAsia="Times New Roman" w:hAnsi="Times New Roman"/>
        </w:rPr>
        <w:t xml:space="preserve"> Typeform's Smart Insights labels the sentiment of English forms only [5]. SurveyMonkey offers sentiment analysis on some paid plans without stating the supported languages [6]. Google Forms offers Gemini summaries on paid editions, without a label for each answer [7]. For Arabic answers, the survey owner is left with manual reading.</w:t>
      </w:r>
    </w:p>
    <w:p>
      <w:pPr>
        <w:spacing w:after="120" w:line="276" w:lineRule="auto"/>
        <w:jc w:val="both"/>
      </w:pPr>
      <w:r>
        <w:rPr>
          <w:rFonts w:ascii="Times New Roman" w:cs="Times New Roman" w:eastAsia="Times New Roman" w:hAnsi="Times New Roman"/>
        </w:rPr>
        <w:t xml:space="preserve">The junior project solved part of the first problem but left clear limits. Its respondent interface was a set of static web pages; its targeting used gender, age and a free-text region only; it had no quality check beyond duplicate prevention; and the accuracy of its sentiment model was never measured. The hosted inference service it called also returned HTTP 402 (Payment Required) responses at the start of Graduation Project 1, so the analysis did not run.</w:t>
      </w:r>
    </w:p>
    <w:p>
      <w:pPr>
        <w:spacing w:after="120" w:line="276" w:lineRule="auto"/>
        <w:jc w:val="both"/>
      </w:pPr>
      <w:r>
        <w:rPr>
          <w:rFonts w:ascii="Times New Roman" w:cs="Times New Roman" w:eastAsia="Times New Roman" w:hAnsi="Times New Roman"/>
        </w:rPr>
        <w:t xml:space="preserve">Academically, the problem combines requirements engineering, a layered architecture, a public REST API, a mobile client, data-quality methods from survey methodology, and the evaluation of natural language processing models for Arabic. Each part has to be justified with evidence and verified with tests, which makes the problem a suitable subject for a software engineering graduation project.</w:t>
      </w:r>
    </w:p>
    <w:p>
      <w:pPr>
        <w:pStyle w:val="Heading3"/>
      </w:pPr>
      <w:r>
        <w:rPr>
          <w:rFonts w:ascii="Times New Roman" w:cs="Times New Roman" w:eastAsia="Times New Roman" w:hAnsi="Times New Roman"/>
        </w:rPr>
        <w:t xml:space="preserve">1.3 Project Objectives (Main Objective, Sub-Objectives)</w:t>
      </w:r>
    </w:p>
    <w:p>
      <w:pPr>
        <w:spacing w:after="120" w:line="276" w:lineRule="auto"/>
        <w:jc w:val="both"/>
      </w:pPr>
      <w:r>
        <w:rPr>
          <w:rFonts w:ascii="Times New Roman" w:cs="Times New Roman" w:eastAsia="Times New Roman" w:hAnsi="Times New Roman"/>
        </w:rPr>
        <w:t xml:space="preserve">The main objective (OBJ-M) is to build a survey platform that delivers each survey to suitable respondents, detects low-quality responses and analyses the sentiment of open answers, by the end of Graduation Project 1 in January 2027. Each sub-objective follows the SMART form required by the department guide: it is specific, has a measurable outcome, is achievable with the team's resources, is linked to a requirement, and is bound to the Graduation Project 1 schedule. Table 1.1 lists them with the requirements they trace to (Chapter 4).</w:t>
      </w:r>
    </w:p>
    <w:p>
      <w:pPr>
        <w:pStyle w:val="TableCaption"/>
        <w:keepNext/>
        <w:spacing w:after="120" w:before="120"/>
        <w:jc w:val="center"/>
      </w:pPr>
      <w:r>
        <w:rPr>
          <w:rFonts w:ascii="Times New Roman" w:cs="Times New Roman" w:eastAsia="Times New Roman" w:hAnsi="Times New Roman"/>
          <w:b/>
          <w:bCs/>
          <w:sz w:val="20"/>
          <w:szCs w:val="20"/>
        </w:rPr>
        <w:t xml:space="preserve">Table 1.1: Project Objectives</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1222"/>
        <w:gridCol w:w="2821"/>
        <w:gridCol w:w="4138"/>
        <w:gridCol w:w="1225"/>
      </w:tblGrid>
      <w:tr>
        <w:trPr>
          <w:cantSplit/>
          <w:tblHeader/>
        </w:trPr>
        <w:tc>
          <w:tcPr>
            <w:tcW w:type="dxa" w:w="122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ID</w:t>
            </w:r>
          </w:p>
        </w:tc>
        <w:tc>
          <w:tcPr>
            <w:tcW w:type="dxa" w:w="282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Objective</w:t>
            </w:r>
          </w:p>
        </w:tc>
        <w:tc>
          <w:tcPr>
            <w:tcW w:type="dxa" w:w="413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Measurable Outcome</w:t>
            </w:r>
          </w:p>
        </w:tc>
        <w:tc>
          <w:tcPr>
            <w:tcW w:type="dxa" w:w="122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Req.</w:t>
            </w:r>
          </w:p>
        </w:tc>
      </w:tr>
      <w:tr>
        <w:trPr>
          <w:cantSplit/>
        </w:trPr>
        <w:tc>
          <w:tcPr>
            <w:tcW w:type="dxa" w:w="12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OBJ-M</w:t>
            </w:r>
          </w:p>
        </w:tc>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Build a survey platform that reaches suitable respondents, detects low-quality responses and analyses open-answer sentiment.</w:t>
            </w:r>
          </w:p>
        </w:tc>
        <w:tc>
          <w:tcPr>
            <w:tcW w:type="dxa" w:w="413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five sub-objectives below are met by the Graduation 1 release in January 2027.</w:t>
            </w:r>
          </w:p>
        </w:tc>
        <w:tc>
          <w:tcPr>
            <w:tcW w:type="dxa" w:w="12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FR-01 to FR-20</w:t>
            </w:r>
          </w:p>
        </w:tc>
      </w:tr>
      <w:tr>
        <w:trPr>
          <w:cantSplit/>
        </w:trPr>
        <w:tc>
          <w:tcPr>
            <w:tcW w:type="dxa" w:w="12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S-OBJ-01</w:t>
            </w:r>
          </w:p>
        </w:tc>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Provide a Flutter mobile application for respondents.</w:t>
            </w:r>
          </w:p>
        </w:tc>
        <w:tc>
          <w:tcPr>
            <w:tcW w:type="dxa" w:w="413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Respondents register, complete the demographic profile, see their matching surveys and answer them in the app; every respondent use case of V1.0 is available in the app.</w:t>
            </w:r>
          </w:p>
        </w:tc>
        <w:tc>
          <w:tcPr>
            <w:tcW w:type="dxa" w:w="12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FR-01, FR-02, FR-06</w:t>
            </w:r>
          </w:p>
        </w:tc>
      </w:tr>
      <w:tr>
        <w:trPr>
          <w:cantSplit/>
        </w:trPr>
        <w:tc>
          <w:tcPr>
            <w:tcW w:type="dxa" w:w="12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S-OBJ-02</w:t>
            </w:r>
          </w:p>
        </w:tc>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Target respondents with the extended demographic profile.</w:t>
            </w:r>
          </w:p>
        </w:tc>
        <w:tc>
          <w:tcPr>
            <w:tcW w:type="dxa" w:w="413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Before publishing, the provider sees the number of eligible respondents; the server checks eligibility again when a response is submitted.</w:t>
            </w:r>
          </w:p>
        </w:tc>
        <w:tc>
          <w:tcPr>
            <w:tcW w:type="dxa" w:w="12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FR-03, FR-08</w:t>
            </w:r>
          </w:p>
        </w:tc>
      </w:tr>
      <w:tr>
        <w:trPr>
          <w:cantSplit/>
        </w:trPr>
        <w:tc>
          <w:tcPr>
            <w:tcW w:type="dxa" w:w="12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S-OBJ-03</w:t>
            </w:r>
          </w:p>
        </w:tc>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Flag suspicious responses without deleting them.</w:t>
            </w:r>
          </w:p>
        </w:tc>
        <w:tc>
          <w:tcPr>
            <w:tcW w:type="dxa" w:w="413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Each response stores attention-check, speeding, straight-lining and duplicate-device flags and a quality score; the provider includes or excludes each flagged response.</w:t>
            </w:r>
          </w:p>
        </w:tc>
        <w:tc>
          <w:tcPr>
            <w:tcW w:type="dxa" w:w="12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FR-04, FR-07</w:t>
            </w:r>
          </w:p>
        </w:tc>
      </w:tr>
      <w:tr>
        <w:trPr>
          <w:cantSplit/>
        </w:trPr>
        <w:tc>
          <w:tcPr>
            <w:tcW w:type="dxa" w:w="12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S-OBJ-04</w:t>
            </w:r>
          </w:p>
        </w:tc>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Select the sentiment model by measurement.</w:t>
            </w:r>
          </w:p>
        </w:tc>
        <w:tc>
          <w:tcPr>
            <w:tcW w:type="dxa" w:w="413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At least four candidate models are compared by macro-F1 on 300 labelled answers (150 MSA, 150 English), with results reported per language.</w:t>
            </w:r>
          </w:p>
        </w:tc>
        <w:tc>
          <w:tcPr>
            <w:tcW w:type="dxa" w:w="12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FR-05, NFR-07</w:t>
            </w:r>
          </w:p>
        </w:tc>
      </w:tr>
      <w:tr>
        <w:trPr>
          <w:cantSplit/>
        </w:trPr>
        <w:tc>
          <w:tcPr>
            <w:tcW w:type="dxa" w:w="12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S-OBJ-05</w:t>
            </w:r>
          </w:p>
        </w:tc>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Keep the mobile API responsive.</w:t>
            </w:r>
          </w:p>
        </w:tc>
        <w:tc>
          <w:tcPr>
            <w:tcW w:type="dxa" w:w="413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95% of API requests are answered within 2 seconds on the demonstration machine with the demonstration data.</w:t>
            </w:r>
          </w:p>
        </w:tc>
        <w:tc>
          <w:tcPr>
            <w:tcW w:type="dxa" w:w="12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NFR-01</w:t>
            </w:r>
          </w:p>
        </w:tc>
      </w:tr>
    </w:tbl>
    <w:p>
      <w:pPr>
        <w:spacing w:after="60"/>
      </w:pPr>
    </w:p>
    <w:p>
      <w:pPr>
        <w:pStyle w:val="Heading3"/>
      </w:pPr>
      <w:r>
        <w:rPr>
          <w:rFonts w:ascii="Times New Roman" w:cs="Times New Roman" w:eastAsia="Times New Roman" w:hAnsi="Times New Roman"/>
        </w:rPr>
        <w:t xml:space="preserve">1.4 Project Scope, Constraints, and Assumptions</w:t>
      </w:r>
    </w:p>
    <w:p>
      <w:pPr>
        <w:spacing w:after="120" w:line="276" w:lineRule="auto"/>
        <w:jc w:val="both"/>
      </w:pPr>
      <w:r>
        <w:rPr>
          <w:rFonts w:ascii="Times New Roman" w:cs="Times New Roman" w:eastAsia="Times New Roman" w:hAnsi="Times New Roman"/>
        </w:rPr>
        <w:t xml:space="preserve">This section defines the boundaries of Graduation Project 1. The scope lists what is built in this phase, the out-of-scope items state what is intentionally left out, the constraints describe the limits under which the work is done, and the assumptions state the conditions expected to hold for the results to be valid.</w:t>
      </w:r>
    </w:p>
    <w:p>
      <w:pPr>
        <w:pStyle w:val="TableCaption"/>
        <w:keepNext/>
        <w:spacing w:after="120" w:before="120"/>
        <w:jc w:val="center"/>
      </w:pPr>
      <w:r>
        <w:rPr>
          <w:rFonts w:ascii="Times New Roman" w:cs="Times New Roman" w:eastAsia="Times New Roman" w:hAnsi="Times New Roman"/>
          <w:b/>
          <w:bCs/>
          <w:sz w:val="20"/>
          <w:szCs w:val="20"/>
        </w:rPr>
        <w:t xml:space="preserve">Table 1.2: Project Scope, Constraints, and Assumptions</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1881"/>
        <w:gridCol w:w="7525"/>
      </w:tblGrid>
      <w:tr>
        <w:trPr>
          <w:cantSplit/>
          <w:tblHeader/>
        </w:trPr>
        <w:tc>
          <w:tcPr>
            <w:tcW w:type="dxa" w:w="18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Category</w:t>
            </w:r>
          </w:p>
        </w:tc>
        <w:tc>
          <w:tcPr>
            <w:tcW w:type="dxa" w:w="752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Description</w:t>
            </w:r>
          </w:p>
        </w:tc>
      </w:tr>
      <w:tr>
        <w:trPr>
          <w:cantSplit/>
        </w:trPr>
        <w:tc>
          <w:tcPr>
            <w:tcW w:type="dxa" w:w="18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In Scope</w:t>
            </w:r>
          </w:p>
        </w:tc>
        <w:tc>
          <w:tcPr>
            <w:tcW w:type="dxa" w:w="75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20 functional requirements of Graduation Project 1 (FR-01 to FR-20, detailed in Chapter 4): the respondent mobile application, the extended demographic profile, advanced targeting, the response-quality engine, Arabic and English sentiment analysis, the answering experience with drafts, individual response review, pseudonymous responses, invitation links, the survey lifecycle with administrator review, advanced analytics, export, account security and randomized question order, followed by four lower-priority features (advanced builder, completion analytics, templates and in-app notifications).</w:t>
            </w:r>
          </w:p>
        </w:tc>
      </w:tr>
      <w:tr>
        <w:trPr>
          <w:cantSplit/>
        </w:trPr>
        <w:tc>
          <w:tcPr>
            <w:tcW w:type="dxa" w:w="18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Technical Scope</w:t>
            </w:r>
          </w:p>
        </w:tc>
        <w:tc>
          <w:tcPr>
            <w:tcW w:type="dxa" w:w="75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Django 4.2 with Django REST Framework and JSON Web Tokens for the respondent API; Django templates for the provider and administrator pages; Flutter (Dart) for the respondent application on Android and the web; PostgreSQL 15 in Docker; pretrained sentiment models reached through a gateway class; GitHub Actions for continuous integration.</w:t>
            </w:r>
          </w:p>
        </w:tc>
      </w:tr>
      <w:tr>
        <w:trPr>
          <w:cantSplit/>
        </w:trPr>
        <w:tc>
          <w:tcPr>
            <w:tcW w:type="dxa" w:w="18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Out of Scope</w:t>
            </w:r>
          </w:p>
        </w:tc>
        <w:tc>
          <w:tcPr>
            <w:tcW w:type="dxa" w:w="75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Five requirements deferred to Graduation Project 2: respondent rewards (FR-21), skip logic and conditional branching (FR-22), an administrator dashboard (FR-23), respondent trust levels (FR-24) and provider notifications (FR-25). Also excluded: training or fine-tuning a model, an iOS build, an Arabic user interface, push notifications, measuring sentiment accuracy on dialectal Arabic, and production deployment.</w:t>
            </w:r>
          </w:p>
        </w:tc>
      </w:tr>
      <w:tr>
        <w:trPr>
          <w:cantSplit/>
        </w:trPr>
        <w:tc>
          <w:tcPr>
            <w:tcW w:type="dxa" w:w="18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Constraints</w:t>
            </w:r>
          </w:p>
        </w:tc>
        <w:tc>
          <w:tcPr>
            <w:tcW w:type="dxa" w:w="75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About ten weeks of development between 2 November 2026 and the report deadline of 16–19 January 2027, fixed by the university calendar; a team of three students with limited prior Flutter experience; one shared Windows laptop for development; pretrained models only; dependence on the availability, speed and cost of the chosen model's hosting.</w:t>
            </w:r>
          </w:p>
        </w:tc>
      </w:tr>
      <w:tr>
        <w:trPr>
          <w:cantSplit/>
        </w:trPr>
        <w:tc>
          <w:tcPr>
            <w:tcW w:type="dxa" w:w="18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Assumptions</w:t>
            </w:r>
          </w:p>
        </w:tc>
        <w:tc>
          <w:tcPr>
            <w:tcW w:type="dxa" w:w="75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Respondents enter accurate demographic data; public labelled datasets are enough to build an evaluation set that is independent of every candidate model's training data; the supervisors review the Increment at the end of each sprint; the demonstration runs on one machine with seeded demonstration data.</w:t>
            </w:r>
          </w:p>
        </w:tc>
      </w:tr>
    </w:tbl>
    <w:p>
      <w:pPr>
        <w:spacing w:after="60"/>
      </w:pPr>
    </w:p>
    <w:p>
      <w:pPr>
        <w:pStyle w:val="Heading3"/>
      </w:pPr>
      <w:r>
        <w:rPr>
          <w:rFonts w:ascii="Times New Roman" w:cs="Times New Roman" w:eastAsia="Times New Roman" w:hAnsi="Times New Roman"/>
        </w:rPr>
        <w:t xml:space="preserve">1.5 Contribution to Knowledge and Field</w:t>
      </w:r>
    </w:p>
    <w:p>
      <w:pPr>
        <w:spacing w:after="120" w:line="276" w:lineRule="auto"/>
        <w:jc w:val="both"/>
      </w:pPr>
      <w:r>
        <w:rPr>
          <w:rFonts w:ascii="Times New Roman" w:cs="Times New Roman" w:eastAsia="Times New Roman" w:hAnsi="Times New Roman"/>
        </w:rPr>
        <w:t xml:space="preserve">The project does not propose a new machine learning model. Its contribution is the engineering integration and the evaluation of existing methods for a setting that the reviewed platforms do not serve:</w:t>
      </w:r>
    </w:p>
    <w:p>
      <w:pPr>
        <w:pStyle w:val="ListParagraph"/>
        <w:numPr>
          <w:ilvl w:val="0"/>
          <w:numId w:val="2"/>
        </w:numPr>
        <w:spacing w:after="60" w:line="276" w:lineRule="auto"/>
        <w:jc w:val="both"/>
      </w:pPr>
      <w:r>
        <w:rPr>
          <w:rFonts w:ascii="Times New Roman" w:cs="Times New Roman" w:eastAsia="Times New Roman" w:hAnsi="Times New Roman"/>
        </w:rPr>
        <w:t xml:space="preserve">It combines, in one platform aimed at Syrian respondents, the profile-matched targeting that commercial panels sell with the layered quality signals that the survey-methodology literature recommends, and with built-in sentiment analysis of each open answer in Arabic and English.</w:t>
      </w:r>
    </w:p>
    <w:p>
      <w:pPr>
        <w:pStyle w:val="ListParagraph"/>
        <w:numPr>
          <w:ilvl w:val="0"/>
          <w:numId w:val="2"/>
        </w:numPr>
        <w:spacing w:after="60" w:line="276" w:lineRule="auto"/>
        <w:jc w:val="both"/>
      </w:pPr>
      <w:r>
        <w:rPr>
          <w:rFonts w:ascii="Times New Roman" w:cs="Times New Roman" w:eastAsia="Times New Roman" w:hAnsi="Times New Roman"/>
        </w:rPr>
        <w:t xml:space="preserve">It selects the sentiment model by a documented comparison on a labelled set that is independent of the candidates' training data, instead of by popularity, and reports the result per language.</w:t>
      </w:r>
    </w:p>
    <w:p>
      <w:pPr>
        <w:pStyle w:val="ListParagraph"/>
        <w:numPr>
          <w:ilvl w:val="0"/>
          <w:numId w:val="2"/>
        </w:numPr>
        <w:spacing w:after="60" w:line="276" w:lineRule="auto"/>
        <w:jc w:val="both"/>
      </w:pPr>
      <w:r>
        <w:rPr>
          <w:rFonts w:ascii="Times New Roman" w:cs="Times New Roman" w:eastAsia="Times New Roman" w:hAnsi="Times New Roman"/>
        </w:rPr>
        <w:t xml:space="preserve">It records quality flags instead of deleting responses, so the analyst can see how each exclusion changes the results, as the literature recommends (Section 3.5).</w:t>
      </w:r>
    </w:p>
    <w:p>
      <w:pPr>
        <w:pStyle w:val="Heading3"/>
      </w:pPr>
      <w:r>
        <w:rPr>
          <w:rFonts w:ascii="Times New Roman" w:cs="Times New Roman" w:eastAsia="Times New Roman" w:hAnsi="Times New Roman"/>
        </w:rPr>
        <w:t xml:space="preserve">1.6 Research Methodology and Scientific Methods</w:t>
      </w:r>
    </w:p>
    <w:p>
      <w:pPr>
        <w:spacing w:after="120" w:line="276" w:lineRule="auto"/>
        <w:jc w:val="both"/>
      </w:pPr>
      <w:r>
        <w:rPr>
          <w:rFonts w:ascii="Times New Roman" w:cs="Times New Roman" w:eastAsia="Times New Roman" w:hAnsi="Times New Roman"/>
        </w:rPr>
        <w:t xml:space="preserve">This report follows an </w:t>
      </w:r>
      <w:r>
        <w:rPr>
          <w:rFonts w:ascii="Times New Roman" w:cs="Times New Roman" w:eastAsia="Times New Roman" w:hAnsi="Times New Roman"/>
          <w:b/>
          <w:bCs/>
        </w:rPr>
        <w:t xml:space="preserve">engineering (design-and-build) research methodology</w:t>
      </w:r>
      <w:r>
        <w:rPr>
          <w:rFonts w:ascii="Times New Roman" w:cs="Times New Roman" w:eastAsia="Times New Roman" w:hAnsi="Times New Roman"/>
        </w:rPr>
        <w:t xml:space="preserve">: the problem is analysed, requirements are derived, a system is designed and built, and the result is verified against measurable objectives. The software development methodology that organises this work in time is described separately in Chapter 2.</w:t>
      </w:r>
    </w:p>
    <w:p>
      <w:pPr>
        <w:spacing w:after="120" w:line="276" w:lineRule="auto"/>
        <w:jc w:val="both"/>
      </w:pPr>
      <w:r>
        <w:rPr>
          <w:rFonts w:ascii="Times New Roman" w:cs="Times New Roman" w:eastAsia="Times New Roman" w:hAnsi="Times New Roman"/>
        </w:rPr>
        <w:t xml:space="preserve">Within this methodology the project uses the following methods. </w:t>
      </w:r>
      <w:r>
        <w:rPr>
          <w:rFonts w:ascii="Times New Roman" w:cs="Times New Roman" w:eastAsia="Times New Roman" w:hAnsi="Times New Roman"/>
          <w:b/>
          <w:bCs/>
        </w:rPr>
        <w:t xml:space="preserve">Comparative analysis</w:t>
      </w:r>
      <w:r>
        <w:rPr>
          <w:rFonts w:ascii="Times New Roman" w:cs="Times New Roman" w:eastAsia="Times New Roman" w:hAnsi="Times New Roman"/>
        </w:rPr>
        <w:t xml:space="preserve"> benchmarks six survey platforms on the same criteria using their official help pages (Section 3.3). </w:t>
      </w:r>
      <w:r>
        <w:rPr>
          <w:rFonts w:ascii="Times New Roman" w:cs="Times New Roman" w:eastAsia="Times New Roman" w:hAnsi="Times New Roman"/>
          <w:b/>
          <w:bCs/>
        </w:rPr>
        <w:t xml:space="preserve">Document analysis</w:t>
      </w:r>
      <w:r>
        <w:rPr>
          <w:rFonts w:ascii="Times New Roman" w:cs="Times New Roman" w:eastAsia="Times New Roman" w:hAnsi="Times New Roman"/>
        </w:rPr>
        <w:t xml:space="preserve"> covers published studies (Section 3.1) and the V1.0 source code. </w:t>
      </w:r>
      <w:r>
        <w:rPr>
          <w:rFonts w:ascii="Times New Roman" w:cs="Times New Roman" w:eastAsia="Times New Roman" w:hAnsi="Times New Roman"/>
          <w:b/>
          <w:bCs/>
        </w:rPr>
        <w:t xml:space="preserve">Stakeholder input</w:t>
      </w:r>
      <w:r>
        <w:rPr>
          <w:rFonts w:ascii="Times New Roman" w:cs="Times New Roman" w:eastAsia="Times New Roman" w:hAnsi="Times New Roman"/>
        </w:rPr>
        <w:t xml:space="preserve"> comes from supervisor meetings on 22 and 24 October 2026 and from the Sprint Reviews. </w:t>
      </w:r>
      <w:r>
        <w:rPr>
          <w:rFonts w:ascii="Times New Roman" w:cs="Times New Roman" w:eastAsia="Times New Roman" w:hAnsi="Times New Roman"/>
          <w:b/>
          <w:bCs/>
        </w:rPr>
        <w:t xml:space="preserve">Prototyping</w:t>
      </w:r>
      <w:r>
        <w:rPr>
          <w:rFonts w:ascii="Times New Roman" w:cs="Times New Roman" w:eastAsia="Times New Roman" w:hAnsi="Times New Roman"/>
        </w:rPr>
        <w:t xml:space="preserve"> produced the respondent REST API and the first Flutter screens during Iteration 0. </w:t>
      </w:r>
      <w:r>
        <w:rPr>
          <w:rFonts w:ascii="Times New Roman" w:cs="Times New Roman" w:eastAsia="Times New Roman" w:hAnsi="Times New Roman"/>
          <w:b/>
          <w:bCs/>
        </w:rPr>
        <w:t xml:space="preserve">Experimental evaluation</w:t>
      </w:r>
      <w:r>
        <w:rPr>
          <w:rFonts w:ascii="Times New Roman" w:cs="Times New Roman" w:eastAsia="Times New Roman" w:hAnsi="Times New Roman"/>
        </w:rPr>
        <w:t xml:space="preserve"> is used twice: to select the sentiment model by macro-F1 on a fixed labelled set, with confusion matrices per language, and to measure API response times against NFR-01.</w:t>
      </w:r>
    </w:p>
    <w:p>
      <w:pPr>
        <w:pStyle w:val="Heading3"/>
      </w:pPr>
      <w:r>
        <w:rPr>
          <w:rFonts w:ascii="Times New Roman" w:cs="Times New Roman" w:eastAsia="Times New Roman" w:hAnsi="Times New Roman"/>
        </w:rPr>
        <w:t xml:space="preserve">1.7 Document Organization</w:t>
      </w:r>
    </w:p>
    <w:p>
      <w:pPr>
        <w:spacing w:after="120" w:line="276" w:lineRule="auto"/>
        <w:jc w:val="both"/>
      </w:pPr>
      <w:r>
        <w:rPr>
          <w:rFonts w:ascii="Times New Roman" w:cs="Times New Roman" w:eastAsia="Times New Roman" w:hAnsi="Times New Roman"/>
        </w:rPr>
        <w:t xml:space="preserve">The document follows the department's graduation thesis guide. Section One introduces the project (Chapter 1) and the development and management methodology (Chapter 2). Section Two presents the literature review (Chapter 3) and requirements modelling and analysis (Chapter 4). Section Three documents the architectural design (Chapter 5). Section Four covers the implementation environment, the implementation and the testing (Chapters 6 to 8). Section Five presents results and conclusions (Chapters 9 and 10), and Section Six contains the appendices and references. This version contains Chapters 1 to 3; its references are numbered in order of first use and are renumbered when the full report is assembled.</w:t>
      </w:r>
    </w:p>
    <w:p>
      <w:pPr>
        <w:pStyle w:val="Heading3"/>
      </w:pPr>
      <w:r>
        <w:rPr>
          <w:rFonts w:ascii="Times New Roman" w:cs="Times New Roman" w:eastAsia="Times New Roman" w:hAnsi="Times New Roman"/>
        </w:rPr>
        <w:t xml:space="preserve">1.8 Basic Definitions and Concepts</w:t>
      </w:r>
    </w:p>
    <w:p>
      <w:pPr>
        <w:spacing w:after="120" w:line="276" w:lineRule="auto"/>
        <w:jc w:val="both"/>
      </w:pPr>
      <w:r>
        <w:rPr>
          <w:rFonts w:ascii="Times New Roman" w:cs="Times New Roman" w:eastAsia="Times New Roman" w:hAnsi="Times New Roman"/>
        </w:rPr>
        <w:t xml:space="preserve">Table 1.3 defines the terms used throughout this report.</w:t>
      </w:r>
    </w:p>
    <w:p>
      <w:pPr>
        <w:pStyle w:val="TableCaption"/>
        <w:keepNext/>
        <w:spacing w:after="120" w:before="120"/>
        <w:jc w:val="center"/>
      </w:pPr>
      <w:r>
        <w:rPr>
          <w:rFonts w:ascii="Times New Roman" w:cs="Times New Roman" w:eastAsia="Times New Roman" w:hAnsi="Times New Roman"/>
          <w:b/>
          <w:bCs/>
          <w:sz w:val="20"/>
          <w:szCs w:val="20"/>
        </w:rPr>
        <w:t xml:space="preserve">Table 1.3: Basic Definitions and Concepts</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633"/>
        <w:gridCol w:w="6773"/>
      </w:tblGrid>
      <w:tr>
        <w:trPr>
          <w:cantSplit/>
          <w:tblHeader/>
        </w:trPr>
        <w:tc>
          <w:tcPr>
            <w:tcW w:type="dxa" w:w="26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Term</w:t>
            </w:r>
          </w:p>
        </w:tc>
        <w:tc>
          <w:tcPr>
            <w:tcW w:type="dxa" w:w="67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Definition</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Targeting criteria</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demographic conditions a provider sets on a survey (for example gender, age range, governorates) that a respondent must meet to see it.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Eligibility check</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server-side test of a respondent's profile against a survey's targeting criteria, run when surveys are listed and again when a response is submitted.</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Attention check</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An instructed-response question with a known correct answer, used to detect respondents who do not read the questions.</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Speeding</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Completing a survey much faster than the typical respondent; measured relative to the survey's median completion time.</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Straight-lining</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Giving the same answer to a series of rating questions regardless of their content.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Quality score</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per-response value derived from the quality flags; flagged responses are kept and the provider decides whether to include them.</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Pseudonymous response</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response linked to an account known to the platform, while the survey provider sees only demographics, never the respondent's name or email.</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Sentiment analysis</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Classifying a text as positive, neutral or negative.</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Modern Standard Arabic (MSA)</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standard written form of Arabic, as opposed to regional spoken dialects such as Levantine Arabic.</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Macro-F1</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unweighted average of the F1 scores of all classes; it gives a minority class such as neutral the same weight as the others.</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REST API</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web interface that exposes resources at URLs and exchanges JSON over HTTP without server-side session state.</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JSON Web Token (JWT)</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signed token that carries the user's identity; the mobile app sends it with every API request.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Throttling</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Limiting how many requests a client may send to an endpoint in a time window; excess requests receive HTTP 429.</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Layered architecture</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An organisation of the application into presentation, business and data source layers, where each layer uses only the layer below it.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Service Layer / Repository / Gateway</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Design patterns: services define the application's operations; repositories give collection-like access to stored domain objects; a gateway wraps access to an external system.</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Product Backlog</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ordered list of everything needed in the product; in this project, GitHub issues in a GitHub Project.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Sprint / Increment</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fixed two-week period of work; the Increment is the usable, tested product version produced by a sprint.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Definition of Done</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quality conditions every backlog item must meet before it counts as finished.</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MoSCoW</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prioritisation method that labels requirements Must, Should, Could or Won't have this time.</w:t>
            </w:r>
          </w:p>
        </w:tc>
      </w:tr>
    </w:tbl>
    <w:p>
      <w:pPr>
        <w:spacing w:after="60"/>
      </w:pPr>
    </w:p>
    <w:p>
      <w:pPr>
        <w:pStyle w:val="Heading2"/>
        <w:pageBreakBefore/>
      </w:pPr>
      <w:r>
        <w:rPr>
          <w:rFonts w:ascii="Times New Roman" w:cs="Times New Roman" w:eastAsia="Times New Roman" w:hAnsi="Times New Roman"/>
        </w:rPr>
        <w:t xml:space="preserve">Chapter 2: Project Development and Management Methodology</w:t>
      </w:r>
    </w:p>
    <w:p>
      <w:pPr>
        <w:pStyle w:val="Heading3"/>
      </w:pPr>
      <w:r>
        <w:rPr>
          <w:rFonts w:ascii="Times New Roman" w:cs="Times New Roman" w:eastAsia="Times New Roman" w:hAnsi="Times New Roman"/>
        </w:rPr>
        <w:t xml:space="preserve">2.1 Selected Development Methodology and Justification</w:t>
      </w:r>
    </w:p>
    <w:p>
      <w:pPr>
        <w:spacing w:after="120" w:line="276" w:lineRule="auto"/>
        <w:jc w:val="both"/>
      </w:pPr>
      <w:r>
        <w:rPr>
          <w:rFonts w:ascii="Times New Roman" w:cs="Times New Roman" w:eastAsia="Times New Roman" w:hAnsi="Times New Roman"/>
        </w:rPr>
        <w:t xml:space="preserve">The project is managed with </w:t>
      </w:r>
      <w:r>
        <w:rPr>
          <w:rFonts w:ascii="Times New Roman" w:cs="Times New Roman" w:eastAsia="Times New Roman" w:hAnsi="Times New Roman"/>
          <w:b/>
          <w:bCs/>
        </w:rPr>
        <w:t xml:space="preserve">Scrum</w:t>
      </w:r>
      <w:r>
        <w:rPr>
          <w:rFonts w:ascii="Times New Roman" w:cs="Times New Roman" w:eastAsia="Times New Roman" w:hAnsi="Times New Roman"/>
        </w:rPr>
        <w:t xml:space="preserve"> as defined in the Scrum Guide 2020 [8], combined with </w:t>
      </w:r>
      <w:r>
        <w:rPr>
          <w:rFonts w:ascii="Times New Roman" w:cs="Times New Roman" w:eastAsia="Times New Roman" w:hAnsi="Times New Roman"/>
          <w:b/>
          <w:bCs/>
        </w:rPr>
        <w:t xml:space="preserve">Agile Modeling</w:t>
      </w:r>
      <w:r>
        <w:rPr>
          <w:rFonts w:ascii="Times New Roman" w:cs="Times New Roman" w:eastAsia="Times New Roman" w:hAnsi="Times New Roman"/>
        </w:rPr>
        <w:t xml:space="preserve"> practices for design work [9]. Development is iterative and incremental: specification, development and validation are interleaved, and each two-week sprint delivers a tested Increment that builds on the previous one [10].</w:t>
      </w:r>
    </w:p>
    <w:p>
      <w:pPr>
        <w:spacing w:after="120" w:line="276" w:lineRule="auto"/>
        <w:jc w:val="both"/>
      </w:pPr>
      <w:r>
        <w:rPr>
          <w:rFonts w:ascii="Times New Roman" w:cs="Times New Roman" w:eastAsia="Times New Roman" w:hAnsi="Times New Roman"/>
        </w:rPr>
        <w:t xml:space="preserve">Four reasons support this choice. First, the requirements changed several times through supervisor feedback before development started: the respondent interface moved from web pages to a mobile application, provider and administrator interfaces were kept on the web, the supported Arabic varieties were revised, and the number of Graduation Project 1 requirements was settled at 20 after two review rounds. A plan-driven process would have had to be re-baselined each time. Second, the university calendar fixes the dates of the seminars, the report and the defence, which suits fixed-length sprints. Third, a working Increment reviewed with the supervisors every two weeks exposes problems early. Fourth, the department guide names Agile (Scrum) as an accepted methodology. Waterfall was rejected because the requirements were not stable, and the Unified Process was rejected because its phases and artefact set are heavier than a three-person team can maintain in ten weeks.</w:t>
      </w:r>
    </w:p>
    <w:p>
      <w:pPr>
        <w:spacing w:after="120" w:line="276" w:lineRule="auto"/>
        <w:jc w:val="both"/>
      </w:pPr>
      <w:r>
        <w:rPr>
          <w:rFonts w:ascii="Times New Roman" w:cs="Times New Roman" w:eastAsia="Times New Roman" w:hAnsi="Times New Roman"/>
        </w:rPr>
        <w:t xml:space="preserve">Agile Modeling adds the design discipline. </w:t>
      </w:r>
      <w:r>
        <w:rPr>
          <w:rFonts w:ascii="Times New Roman" w:cs="Times New Roman" w:eastAsia="Times New Roman" w:hAnsi="Times New Roman"/>
          <w:b/>
          <w:bCs/>
        </w:rPr>
        <w:t xml:space="preserve">Iteration 0</w:t>
      </w:r>
      <w:r>
        <w:rPr>
          <w:rFonts w:ascii="Times New Roman" w:cs="Times New Roman" w:eastAsia="Times New Roman" w:hAnsi="Times New Roman"/>
        </w:rPr>
        <w:t xml:space="preserve"> (22 October to 1 November 2026) performs initial requirements envisioning and architecture envisioning: the requirements and their priorities, the use case diagrams, the architecture diagram, an initial class (domain) diagram and a prototype. </w:t>
      </w:r>
      <w:r>
        <w:rPr>
          <w:rFonts w:ascii="Times New Roman" w:cs="Times New Roman" w:eastAsia="Times New Roman" w:hAnsi="Times New Roman"/>
          <w:b/>
          <w:bCs/>
        </w:rPr>
        <w:t xml:space="preserve">Iteration modeling</w:t>
      </w:r>
      <w:r>
        <w:rPr>
          <w:rFonts w:ascii="Times New Roman" w:cs="Times New Roman" w:eastAsia="Times New Roman" w:hAnsi="Times New Roman"/>
        </w:rPr>
        <w:t xml:space="preserve"> at the start of each sprint then produces the diagrams that sprint needs, such as sequence and activity diagrams and the ERD, so diagrams are drawn just before the code they describe. Figure 2.1 shows the resulting process.</w:t>
      </w:r>
    </w:p>
    <w:p>
      <w:pPr>
        <w:keepNext/>
        <w:spacing w:after="0" w:before="120" w:line="240" w:lineRule="auto"/>
        <w:jc w:val="center"/>
      </w:pPr>
      <w:r>
        <w:drawing>
          <wp:inline distT="0" distB="0" distL="0" distR="0">
            <wp:extent cx="5905500" cy="2486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86025"/>
                    </a:xfrm>
                    <a:prstGeom prst="rect">
                      <a:avLst/>
                    </a:prstGeom>
                  </pic:spPr>
                </pic:pic>
              </a:graphicData>
            </a:graphic>
          </wp:inline>
        </w:drawing>
      </w:r>
    </w:p>
    <w:p>
      <w:pPr>
        <w:pStyle w:val="FigureCaption"/>
        <w:keepNext w:val="false"/>
        <w:spacing w:after="120" w:before="120"/>
        <w:jc w:val="center"/>
      </w:pPr>
      <w:r>
        <w:rPr>
          <w:rFonts w:ascii="Times New Roman" w:cs="Times New Roman" w:eastAsia="Times New Roman" w:hAnsi="Times New Roman"/>
          <w:b/>
          <w:bCs/>
          <w:sz w:val="20"/>
          <w:szCs w:val="20"/>
        </w:rPr>
        <w:t xml:space="preserve">Figure 2.1: Development Process (Scrum with Agile Modeling)</w:t>
      </w:r>
    </w:p>
    <w:p>
      <w:pPr>
        <w:spacing w:after="120" w:line="276" w:lineRule="auto"/>
        <w:jc w:val="both"/>
      </w:pPr>
      <w:r>
        <w:rPr>
          <w:rFonts w:ascii="Times New Roman" w:cs="Times New Roman" w:eastAsia="Times New Roman" w:hAnsi="Times New Roman"/>
        </w:rPr>
        <w:t xml:space="preserve">The Scrum artefacts are the </w:t>
      </w:r>
      <w:r>
        <w:rPr>
          <w:rFonts w:ascii="Times New Roman" w:cs="Times New Roman" w:eastAsia="Times New Roman" w:hAnsi="Times New Roman"/>
          <w:b/>
          <w:bCs/>
        </w:rPr>
        <w:t xml:space="preserve">Product Backlog</w:t>
      </w:r>
      <w:r>
        <w:rPr>
          <w:rFonts w:ascii="Times New Roman" w:cs="Times New Roman" w:eastAsia="Times New Roman" w:hAnsi="Times New Roman"/>
        </w:rPr>
        <w:t xml:space="preserve"> (GitHub issues in a GitHub Project, Section 2.6), the </w:t>
      </w:r>
      <w:r>
        <w:rPr>
          <w:rFonts w:ascii="Times New Roman" w:cs="Times New Roman" w:eastAsia="Times New Roman" w:hAnsi="Times New Roman"/>
          <w:b/>
          <w:bCs/>
        </w:rPr>
        <w:t xml:space="preserve">Sprint Backlog</w:t>
      </w:r>
      <w:r>
        <w:rPr>
          <w:rFonts w:ascii="Times New Roman" w:cs="Times New Roman" w:eastAsia="Times New Roman" w:hAnsi="Times New Roman"/>
        </w:rPr>
        <w:t xml:space="preserve"> selected at Sprint Planning, and the </w:t>
      </w:r>
      <w:r>
        <w:rPr>
          <w:rFonts w:ascii="Times New Roman" w:cs="Times New Roman" w:eastAsia="Times New Roman" w:hAnsi="Times New Roman"/>
          <w:b/>
          <w:bCs/>
        </w:rPr>
        <w:t xml:space="preserve">Increment</w:t>
      </w:r>
      <w:r>
        <w:rPr>
          <w:rFonts w:ascii="Times New Roman" w:cs="Times New Roman" w:eastAsia="Times New Roman" w:hAnsi="Times New Roman"/>
        </w:rPr>
        <w:t xml:space="preserve">, released at the end of each sprint as a tagged version on the main branch (Section 2.8.4). The events are Sprint Planning, the Daily Scrum at the start of each joint working session, the Sprint Review with the supervisors and the Sprint Retrospective. The </w:t>
      </w: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requires that the automated tests pass in continuous integration, that the affected diagrams are updated, and that the sprint's report sections are written.</w:t>
      </w:r>
    </w:p>
    <w:p>
      <w:pPr>
        <w:pStyle w:val="Heading3"/>
      </w:pPr>
      <w:r>
        <w:rPr>
          <w:rFonts w:ascii="Times New Roman" w:cs="Times New Roman" w:eastAsia="Times New Roman" w:hAnsi="Times New Roman"/>
        </w:rPr>
        <w:t xml:space="preserve">2.2 Project Schedule and Sprint Plan</w:t>
      </w:r>
    </w:p>
    <w:p>
      <w:pPr>
        <w:spacing w:after="120" w:line="276" w:lineRule="auto"/>
        <w:jc w:val="both"/>
      </w:pPr>
      <w:r>
        <w:rPr>
          <w:rFonts w:ascii="Times New Roman" w:cs="Times New Roman" w:eastAsia="Times New Roman" w:hAnsi="Times New Roman"/>
        </w:rPr>
        <w:t xml:space="preserve">The schedule runs from Iteration 0 to the final judging in February 2027. Four two-week sprints run from 2 November to 27 December 2026, followed by a release sprint for system testing, performance measurement and the final report. Requirements are assigned to sprints by priority and by dependency: FR-05, for example, is a Must requirement but is integrated in Sprint 3, because it needs the model selected by the evaluation (T-2) in Sprint 2. A feature freeze on 27 December protects the release sprint. Table 2.1 lists the plan, and Figure 2.2 shows it as a Gantt chart with the university milestones.</w:t>
      </w:r>
    </w:p>
    <w:p>
      <w:pPr>
        <w:pStyle w:val="TableCaption"/>
        <w:keepNext/>
        <w:spacing w:after="120" w:before="120"/>
        <w:jc w:val="center"/>
      </w:pPr>
      <w:r>
        <w:rPr>
          <w:rFonts w:ascii="Times New Roman" w:cs="Times New Roman" w:eastAsia="Times New Roman" w:hAnsi="Times New Roman"/>
          <w:b/>
          <w:bCs/>
          <w:sz w:val="20"/>
          <w:szCs w:val="20"/>
        </w:rPr>
        <w:t xml:space="preserve">Table 2.1: Sprint-Based Project Execution Plan</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1316"/>
        <w:gridCol w:w="1693"/>
        <w:gridCol w:w="2069"/>
        <w:gridCol w:w="4328"/>
      </w:tblGrid>
      <w:tr>
        <w:trPr>
          <w:cantSplit/>
          <w:tblHeader/>
        </w:trPr>
        <w:tc>
          <w:tcPr>
            <w:tcW w:type="dxa" w:w="13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Sprint</w:t>
            </w:r>
          </w:p>
        </w:tc>
        <w:tc>
          <w:tcPr>
            <w:tcW w:type="dxa" w:w="169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Period</w:t>
            </w:r>
          </w:p>
        </w:tc>
        <w:tc>
          <w:tcPr>
            <w:tcW w:type="dxa" w:w="206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Backlog Items</w:t>
            </w:r>
          </w:p>
        </w:tc>
        <w:tc>
          <w:tcPr>
            <w:tcW w:type="dxa" w:w="43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Main Deliverables</w:t>
            </w:r>
          </w:p>
        </w:tc>
      </w:tr>
      <w:tr>
        <w:trPr>
          <w:cantSplit/>
        </w:trPr>
        <w:tc>
          <w:tcPr>
            <w:tcW w:type="dxa" w:w="13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Iteration 0</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22 Oct – 1 Nov 2026</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Envisioning, prototype</w:t>
            </w:r>
          </w:p>
        </w:tc>
        <w:tc>
          <w:tcPr>
            <w:tcW w:type="dxa" w:w="4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Literature review and platform benchmark; FR-01 to FR-20 and NFR-01 to NFR-07 with MoSCoW priorities; use case, architecture and initial class diagrams; Product Backlog; REST API and Flutter login, registration and survey list; Seminar 1.</w:t>
            </w:r>
          </w:p>
        </w:tc>
      </w:tr>
      <w:tr>
        <w:trPr>
          <w:cantSplit/>
        </w:trPr>
        <w:tc>
          <w:tcPr>
            <w:tcW w:type="dxa" w:w="13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Sprint 1</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2 – 15 Nov 2026</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FR-01, FR-02, FR-06, FR-08, FR-16, T-1, T-4</w:t>
            </w:r>
          </w:p>
        </w:tc>
        <w:tc>
          <w:tcPr>
            <w:tcW w:type="dxa" w:w="4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Respondent app features: extended profile, answering with drafts, ranked survey list, randomized order; HTTP 409 for concurrent duplicate submissions; throttling of the authentication endpoints.</w:t>
            </w:r>
          </w:p>
        </w:tc>
      </w:tr>
      <w:tr>
        <w:trPr>
          <w:cantSplit/>
        </w:trPr>
        <w:tc>
          <w:tcPr>
            <w:tcW w:type="dxa" w:w="13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Sprint 2</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16 – 29 Nov 2026</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FR-03, FR-04, FR-07, FR-09, T-2</w:t>
            </w:r>
          </w:p>
        </w:tc>
        <w:tc>
          <w:tcPr>
            <w:tcW w:type="dxa" w:w="4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Advanced targeting with eligible-respondent count; quality engine; individual response view; pseudonymous responses; sentiment model evaluation.</w:t>
            </w:r>
          </w:p>
        </w:tc>
      </w:tr>
      <w:tr>
        <w:trPr>
          <w:cantSplit/>
        </w:trPr>
        <w:tc>
          <w:tcPr>
            <w:tcW w:type="dxa" w:w="13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Sprint 3</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30 Nov – 13 Dec 2026</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FR-05, FR-10, FR-11, FR-12</w:t>
            </w:r>
          </w:p>
        </w:tc>
        <w:tc>
          <w:tcPr>
            <w:tcW w:type="dxa" w:w="4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Arabic and English sentiment analysis with the selected model; invitation links; scheduling, pause and automatic close; administrator review.</w:t>
            </w:r>
          </w:p>
        </w:tc>
      </w:tr>
      <w:tr>
        <w:trPr>
          <w:cantSplit/>
        </w:trPr>
        <w:tc>
          <w:tcPr>
            <w:tcW w:type="dxa" w:w="13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Sprint 4</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14 – 27 Dec 2026</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FR-13 to FR-15, then FR-17 to FR-20</w:t>
            </w:r>
          </w:p>
        </w:tc>
        <w:tc>
          <w:tcPr>
            <w:tcW w:type="dxa" w:w="4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Advanced analytics, export, account security; then the Could items as time allows. Feature freeze on 27 December.</w:t>
            </w:r>
          </w:p>
        </w:tc>
      </w:tr>
      <w:tr>
        <w:trPr>
          <w:cantSplit/>
        </w:trPr>
        <w:tc>
          <w:tcPr>
            <w:tcW w:type="dxa" w:w="131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Release (S5)</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28 Dec 2026 – 10 Jan 2027</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T-3</w:t>
            </w:r>
          </w:p>
        </w:tc>
        <w:tc>
          <w:tcPr>
            <w:tcW w:type="dxa" w:w="4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System testing, performance measurement against NFR-01, Seminar 2 (2–5 January), final report.</w:t>
            </w:r>
          </w:p>
        </w:tc>
      </w:tr>
    </w:tbl>
    <w:p>
      <w:pPr>
        <w:spacing w:after="60"/>
      </w:pPr>
    </w:p>
    <w:p>
      <w:pPr>
        <w:sectPr>
          <w:footerReference w:type="default" r:id="rId7"/>
          <w:type w:val="nextPage"/>
          <w:pgSz w:w="12240" w:h="15840" w:orient="portrait"/>
          <w:pgMar w:top="1417" w:right="1417" w:bottom="1417" w:left="1417" w:header="708" w:footer="708" w:gutter="0"/>
          <w:pgNumType w:start="1" w:fmt="decimal"/>
          <w:docGrid w:linePitch="360"/>
        </w:sectPr>
      </w:pPr>
    </w:p>
    <w:p>
      <w:pPr>
        <w:keepNext/>
        <w:spacing w:after="0" w:before="120" w:line="240" w:lineRule="auto"/>
        <w:jc w:val="center"/>
      </w:pPr>
      <w:r>
        <w:drawing>
          <wp:inline distT="0" distB="0" distL="0" distR="0">
            <wp:extent cx="8191500" cy="4295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191500" cy="4295775"/>
                    </a:xfrm>
                    <a:prstGeom prst="rect">
                      <a:avLst/>
                    </a:prstGeom>
                  </pic:spPr>
                </pic:pic>
              </a:graphicData>
            </a:graphic>
          </wp:inline>
        </w:drawing>
      </w:r>
    </w:p>
    <w:p>
      <w:pPr>
        <w:pStyle w:val="FigureCaption"/>
        <w:keepNext w:val="false"/>
        <w:spacing w:after="120" w:before="120"/>
        <w:jc w:val="center"/>
      </w:pPr>
      <w:r>
        <w:rPr>
          <w:rFonts w:ascii="Times New Roman" w:cs="Times New Roman" w:eastAsia="Times New Roman" w:hAnsi="Times New Roman"/>
          <w:b/>
          <w:bCs/>
          <w:sz w:val="20"/>
          <w:szCs w:val="20"/>
        </w:rPr>
        <w:t xml:space="preserve">Figure 2.2: Gantt Chart of Graduation Project 1</w:t>
      </w:r>
    </w:p>
    <w:p>
      <w:pPr>
        <w:spacing w:after="120" w:line="276" w:lineRule="auto"/>
        <w:jc w:val="both"/>
      </w:pPr>
      <w:r>
        <w:rPr>
          <w:rFonts w:ascii="Times New Roman" w:cs="Times New Roman" w:eastAsia="Times New Roman" w:hAnsi="Times New Roman"/>
        </w:rPr>
        <w:t xml:space="preserve">University milestones: Seminar 1 on 1 November 2026; Seminar 2 on 2–5 January 2027; report submission on 16–19 January 2027; technical code-audit interview on 27 January – 4 February 2027; final judging on 6–9 February 2027.</w:t>
      </w:r>
    </w:p>
    <w:p>
      <w:pPr>
        <w:sectPr>
          <w:footerReference w:type="default" r:id="rId8"/>
          <w:type w:val="nextPage"/>
          <w:pgSz w:w="15840" w:h="12240" w:orient="landscape"/>
          <w:pgMar w:top="1417" w:right="1417" w:bottom="1417" w:left="1417" w:header="708" w:footer="708" w:gutter="0"/>
          <w:pgNumType/>
          <w:docGrid w:linePitch="360"/>
        </w:sectPr>
      </w:pPr>
    </w:p>
    <w:p>
      <w:pPr>
        <w:pStyle w:val="Heading3"/>
      </w:pPr>
      <w:r>
        <w:rPr>
          <w:rFonts w:ascii="Times New Roman" w:cs="Times New Roman" w:eastAsia="Times New Roman" w:hAnsi="Times New Roman"/>
        </w:rPr>
        <w:t xml:space="preserve">2.3 Risk Management</w:t>
      </w:r>
    </w:p>
    <w:p>
      <w:pPr>
        <w:spacing w:after="120" w:line="276" w:lineRule="auto"/>
        <w:jc w:val="both"/>
      </w:pPr>
      <w:r>
        <w:rPr>
          <w:rFonts w:ascii="Times New Roman" w:cs="Times New Roman" w:eastAsia="Times New Roman" w:hAnsi="Times New Roman"/>
        </w:rPr>
        <w:t xml:space="preserve">Risks are reviewed at each Sprint Planning. Table 2.2 lists the register at the end of Iteration 0. Risk IDs use the prefix RK so that they are not confused with requirement IDs.</w:t>
      </w:r>
    </w:p>
    <w:p>
      <w:pPr>
        <w:pStyle w:val="TableCaption"/>
        <w:keepNext/>
        <w:spacing w:after="120" w:before="120"/>
        <w:jc w:val="center"/>
      </w:pPr>
      <w:r>
        <w:rPr>
          <w:rFonts w:ascii="Times New Roman" w:cs="Times New Roman" w:eastAsia="Times New Roman" w:hAnsi="Times New Roman"/>
          <w:b/>
          <w:bCs/>
          <w:sz w:val="20"/>
          <w:szCs w:val="20"/>
        </w:rPr>
        <w:t xml:space="preserve">Table 2.2: Risk Register</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846"/>
        <w:gridCol w:w="2915"/>
        <w:gridCol w:w="940"/>
        <w:gridCol w:w="940"/>
        <w:gridCol w:w="3765"/>
      </w:tblGrid>
      <w:tr>
        <w:trPr>
          <w:cantSplit/>
          <w:tblHeader/>
        </w:trPr>
        <w:tc>
          <w:tcPr>
            <w:tcW w:type="dxa" w:w="84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ID</w:t>
            </w:r>
          </w:p>
        </w:tc>
        <w:tc>
          <w:tcPr>
            <w:tcW w:type="dxa" w:w="29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Risk</w:t>
            </w:r>
          </w:p>
        </w:tc>
        <w:tc>
          <w:tcPr>
            <w:tcW w:type="dxa" w:w="9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Prob.</w:t>
            </w:r>
          </w:p>
        </w:tc>
        <w:tc>
          <w:tcPr>
            <w:tcW w:type="dxa" w:w="9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Impact</w:t>
            </w:r>
          </w:p>
        </w:tc>
        <w:tc>
          <w:tcPr>
            <w:tcW w:type="dxa" w:w="376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Mitigation</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RK-01</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external sentiment model service is unavailable, slow or paid.</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response is stored first; open answers are analysed afterwards and shown as pending until then (NFR-01). Cost and latency are selection criteria in T-2.</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RK-02</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selected model performs poorly on real survey answers, since published benchmarks use tweets and reviews.</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Selection by macro-F1 on a labelled set, results per language with confusion matrices, and the limits stated in the report.</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RK-03</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Test-set leakage inflates a candidate model's score.</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evaluation set must not overlap any candidate's training data (NFR-07); a candidate trained on the chosen data is excluded or tested on other data.</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RK-04</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Limited Flutter experience delays the respondent app.</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minimal stack (http, secure storage, Navigator and setState); screens designed before coding; app work starts in Sprint 1.</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RK-05</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Twenty requirements exceed the available time.</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MoSCoW order; Could items placed last in Sprint 4 and dropped first; feature freeze on 27 December.</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RK-06</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Automated or AI-assisted respondents distort results.</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Login-bound responses, one response per account, device flags, speeding and pattern checks; flags kept for the analyst.</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RK-07</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public authentication endpoints are abused (password guessing, mass registration).</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Throttling of login, token refresh and registration with HTTP 429 in Sprint 1 (T-4) [11].</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RK-08</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Concurrent duplicate submissions return HTTP 500 instead of 409.</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unique constraint keeps the data correct; the status code is fixed in Sprint 1 (T-1).</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RK-09</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Django 4.2 no longer receives security fixes: its extended support ended in April 2026 [12], and the project pins 4.2.11.</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Evaluate an upgrade to Django 5.2 LTS early in Sprint 1, using the automated test suite as the safety net.</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RK-10</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Requirements change after a Sprint Review.</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Medium</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Product Backlog is reordered at Sprint Planning; each change is recorded with its reason in the decision log.</w:t>
            </w:r>
          </w:p>
        </w:tc>
      </w:tr>
      <w:tr>
        <w:trPr>
          <w:cantSplit/>
        </w:trPr>
        <w:tc>
          <w:tcPr>
            <w:tcW w:type="dxa" w:w="84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RK-11</w:t>
            </w:r>
          </w:p>
        </w:tc>
        <w:tc>
          <w:tcPr>
            <w:tcW w:type="dxa" w:w="29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single development laptop fails or is lost.</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Low</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High</w:t>
            </w:r>
          </w:p>
        </w:tc>
        <w:tc>
          <w:tcPr>
            <w:tcW w:type="dxa" w:w="376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Every task ends with a push to GitHub; documents are kept in the repository.</w:t>
            </w:r>
          </w:p>
        </w:tc>
      </w:tr>
    </w:tbl>
    <w:p>
      <w:pPr>
        <w:spacing w:after="60"/>
      </w:pPr>
    </w:p>
    <w:p>
      <w:pPr>
        <w:pStyle w:val="Heading3"/>
      </w:pPr>
      <w:r>
        <w:rPr>
          <w:rFonts w:ascii="Times New Roman" w:cs="Times New Roman" w:eastAsia="Times New Roman" w:hAnsi="Times New Roman"/>
        </w:rPr>
        <w:t xml:space="preserve">2.4 Team Roles and Responsibilities</w:t>
      </w:r>
    </w:p>
    <w:p>
      <w:pPr>
        <w:spacing w:after="120" w:line="276" w:lineRule="auto"/>
        <w:jc w:val="both"/>
      </w:pPr>
      <w:r>
        <w:rPr>
          <w:rFonts w:ascii="Times New Roman" w:cs="Times New Roman" w:eastAsia="Times New Roman" w:hAnsi="Times New Roman"/>
        </w:rPr>
        <w:t xml:space="preserve">The three students are the Scrum Team. Each also leads one technical area, and all three develop, test and document; work is usually done together on one machine, and every commit credits the teammates who took part. The supervisors are the main stakeholders and review the Increment at each Sprint Review.</w:t>
      </w:r>
    </w:p>
    <w:p>
      <w:pPr>
        <w:pStyle w:val="TableCaption"/>
        <w:keepNext/>
        <w:spacing w:after="120" w:before="120"/>
        <w:jc w:val="center"/>
      </w:pPr>
      <w:r>
        <w:rPr>
          <w:rFonts w:ascii="Times New Roman" w:cs="Times New Roman" w:eastAsia="Times New Roman" w:hAnsi="Times New Roman"/>
          <w:b/>
          <w:bCs/>
          <w:sz w:val="20"/>
          <w:szCs w:val="20"/>
        </w:rPr>
        <w:t xml:space="preserve">Table 2.3: Team Roles and Responsibilities</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069"/>
        <w:gridCol w:w="1693"/>
        <w:gridCol w:w="1693"/>
        <w:gridCol w:w="3951"/>
      </w:tblGrid>
      <w:tr>
        <w:trPr>
          <w:cantSplit/>
          <w:tblHeader/>
        </w:trPr>
        <w:tc>
          <w:tcPr>
            <w:tcW w:type="dxa" w:w="206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Member</w:t>
            </w:r>
          </w:p>
        </w:tc>
        <w:tc>
          <w:tcPr>
            <w:tcW w:type="dxa" w:w="169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Scrum Role</w:t>
            </w:r>
          </w:p>
        </w:tc>
        <w:tc>
          <w:tcPr>
            <w:tcW w:type="dxa" w:w="169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Technical Area</w:t>
            </w:r>
          </w:p>
        </w:tc>
        <w:tc>
          <w:tcPr>
            <w:tcW w:type="dxa" w:w="39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Main Responsibilities</w:t>
            </w:r>
          </w:p>
        </w:tc>
      </w:tr>
      <w:tr>
        <w:trPr>
          <w:cantSplit/>
        </w:trPr>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Yaman Almatar</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Product Owner, Developer</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Backend and architecture</w:t>
            </w:r>
          </w:p>
        </w:tc>
        <w:tc>
          <w:tcPr>
            <w:tcW w:type="dxa" w:w="39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Orders the Product Backlog and writes acceptance criteria; Django services, REST API, database design and architectural consistency.</w:t>
            </w:r>
          </w:p>
        </w:tc>
      </w:tr>
      <w:tr>
        <w:trPr>
          <w:cantSplit/>
        </w:trPr>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Yousef Alzoubi</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Scrum Master, Developer</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Frontend</w:t>
            </w:r>
          </w:p>
        </w:tc>
        <w:tc>
          <w:tcPr>
            <w:tcW w:type="dxa" w:w="39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Facilitates the Scrum events and removes impediments; Flutter respondent app and the provider and administrator web pages.</w:t>
            </w:r>
          </w:p>
        </w:tc>
      </w:tr>
      <w:tr>
        <w:trPr>
          <w:cantSplit/>
        </w:trPr>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Hasan Yahya</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Developer</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AI and analysis</w:t>
            </w:r>
          </w:p>
        </w:tc>
        <w:tc>
          <w:tcPr>
            <w:tcW w:type="dxa" w:w="39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Sentiment model evaluation (T-2) and integration; analysis features that use sentiment and quality data.</w:t>
            </w:r>
          </w:p>
        </w:tc>
      </w:tr>
      <w:tr>
        <w:trPr>
          <w:cantSplit/>
        </w:trPr>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Eng. Shadi Blidi, Eng. Mohammad Amer Khorshid</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Stakeholders (supervisors)</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Academic supervision</w:t>
            </w:r>
          </w:p>
        </w:tc>
        <w:tc>
          <w:tcPr>
            <w:tcW w:type="dxa" w:w="39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Review each Increment; approve requirements and scope changes; guide the methodology and documentation.</w:t>
            </w:r>
          </w:p>
        </w:tc>
      </w:tr>
    </w:tbl>
    <w:p>
      <w:pPr>
        <w:spacing w:after="60"/>
      </w:pPr>
    </w:p>
    <w:p>
      <w:pPr>
        <w:pStyle w:val="Heading3"/>
      </w:pPr>
      <w:r>
        <w:rPr>
          <w:rFonts w:ascii="Times New Roman" w:cs="Times New Roman" w:eastAsia="Times New Roman" w:hAnsi="Times New Roman"/>
        </w:rPr>
        <w:t xml:space="preserve">2.5 Quality Management</w:t>
      </w:r>
    </w:p>
    <w:p>
      <w:pPr>
        <w:spacing w:after="120" w:line="276" w:lineRule="auto"/>
        <w:jc w:val="both"/>
      </w:pPr>
      <w:r>
        <w:rPr>
          <w:rFonts w:ascii="Times New Roman" w:cs="Times New Roman" w:eastAsia="Times New Roman" w:hAnsi="Times New Roman"/>
        </w:rPr>
        <w:t xml:space="preserve">Quality is built into each sprint instead of being checked at the end. The non-functional requirements are written against the product quality model of ISO/IEC 25010:2023 [13] (Chapter 4), and the following controls apply to every backlog item:</w:t>
      </w:r>
    </w:p>
    <w:p>
      <w:pPr>
        <w:pStyle w:val="ListParagraph"/>
        <w:numPr>
          <w:ilvl w:val="0"/>
          <w:numId w:val="2"/>
        </w:numPr>
        <w:spacing w:after="60" w:line="276" w:lineRule="auto"/>
        <w:jc w:val="both"/>
      </w:pPr>
      <w:r>
        <w:rPr>
          <w:rFonts w:ascii="Times New Roman" w:cs="Times New Roman" w:eastAsia="Times New Roman" w:hAnsi="Times New Roman"/>
          <w:b/>
          <w:bCs/>
        </w:rPr>
        <w:t xml:space="preserve">Acceptance criteria and Definition of Done.</w:t>
      </w:r>
      <w:r>
        <w:rPr>
          <w:rFonts w:ascii="Times New Roman" w:cs="Times New Roman" w:eastAsia="Times New Roman" w:hAnsi="Times New Roman"/>
        </w:rPr>
        <w:t xml:space="preserve"> Every backlog item states testable acceptance criteria; an item is done only when its tests pass in continuous integration, its diagrams are updated and its report sections are written.</w:t>
      </w:r>
    </w:p>
    <w:p>
      <w:pPr>
        <w:pStyle w:val="ListParagraph"/>
        <w:numPr>
          <w:ilvl w:val="0"/>
          <w:numId w:val="2"/>
        </w:numPr>
        <w:spacing w:after="60" w:line="276" w:lineRule="auto"/>
        <w:jc w:val="both"/>
      </w:pPr>
      <w:r>
        <w:rPr>
          <w:rFonts w:ascii="Times New Roman" w:cs="Times New Roman" w:eastAsia="Times New Roman" w:hAnsi="Times New Roman"/>
          <w:b/>
          <w:bCs/>
        </w:rPr>
        <w:t xml:space="preserve">Automated tests in continuous integration.</w:t>
      </w:r>
      <w:r>
        <w:rPr>
          <w:rFonts w:ascii="Times New Roman" w:cs="Times New Roman" w:eastAsia="Times New Roman" w:hAnsi="Times New Roman"/>
        </w:rPr>
        <w:t xml:space="preserve"> The Django CI workflow runs the backend tests against a PostgreSQL 15 service on every push and pull request to main and develop. The Flutter CI workflow runs static analysis (flutter analyze) and the widget and unit tests whenever the app changes. At the end of Iteration 0 the backend has 259 test functions (about 330 test cases after parametrisation) and the app has 34 tests.</w:t>
      </w:r>
    </w:p>
    <w:p>
      <w:pPr>
        <w:pStyle w:val="ListParagraph"/>
        <w:numPr>
          <w:ilvl w:val="0"/>
          <w:numId w:val="2"/>
        </w:numPr>
        <w:spacing w:after="60" w:line="276" w:lineRule="auto"/>
        <w:jc w:val="both"/>
      </w:pPr>
      <w:r>
        <w:rPr>
          <w:rFonts w:ascii="Times New Roman" w:cs="Times New Roman" w:eastAsia="Times New Roman" w:hAnsi="Times New Roman"/>
          <w:b/>
          <w:bCs/>
        </w:rPr>
        <w:t xml:space="preserve">Pull requests merged only on green checks.</w:t>
      </w:r>
      <w:r>
        <w:rPr>
          <w:rFonts w:ascii="Times New Roman" w:cs="Times New Roman" w:eastAsia="Times New Roman" w:hAnsi="Times New Roman"/>
        </w:rPr>
        <w:t xml:space="preserve"> Each task is integrated through a pull request, and the team merges it only after the CI checks have passed.</w:t>
      </w:r>
    </w:p>
    <w:p>
      <w:pPr>
        <w:pStyle w:val="ListParagraph"/>
        <w:numPr>
          <w:ilvl w:val="0"/>
          <w:numId w:val="2"/>
        </w:numPr>
        <w:spacing w:after="60" w:line="276" w:lineRule="auto"/>
        <w:jc w:val="both"/>
      </w:pPr>
      <w:r>
        <w:rPr>
          <w:rFonts w:ascii="Times New Roman" w:cs="Times New Roman" w:eastAsia="Times New Roman" w:hAnsi="Times New Roman"/>
          <w:b/>
          <w:bCs/>
        </w:rPr>
        <w:t xml:space="preserve">Architectural rules.</w:t>
      </w:r>
      <w:r>
        <w:rPr>
          <w:rFonts w:ascii="Times New Roman" w:cs="Times New Roman" w:eastAsia="Times New Roman" w:hAnsi="Times New Roman"/>
        </w:rPr>
        <w:t xml:space="preserve"> Presentation code calls services only; services reach data only through repositories and the gateway class [14]. A check of the code at the end of Iteration 0 found no view that imports a repository or runs a database query.</w:t>
      </w:r>
    </w:p>
    <w:p>
      <w:pPr>
        <w:pStyle w:val="ListParagraph"/>
        <w:numPr>
          <w:ilvl w:val="0"/>
          <w:numId w:val="2"/>
        </w:numPr>
        <w:spacing w:after="60" w:line="276" w:lineRule="auto"/>
        <w:jc w:val="both"/>
      </w:pPr>
      <w:r>
        <w:rPr>
          <w:rFonts w:ascii="Times New Roman" w:cs="Times New Roman" w:eastAsia="Times New Roman" w:hAnsi="Times New Roman"/>
          <w:b/>
          <w:bCs/>
        </w:rPr>
        <w:t xml:space="preserve">Traceability.</w:t>
      </w:r>
      <w:r>
        <w:rPr>
          <w:rFonts w:ascii="Times New Roman" w:cs="Times New Roman" w:eastAsia="Times New Roman" w:hAnsi="Times New Roman"/>
        </w:rPr>
        <w:t xml:space="preserve"> Each requirement is linked to its use cases, its backlog issue, the pull requests that implement it and the tests that verify it.</w:t>
      </w:r>
    </w:p>
    <w:p>
      <w:pPr>
        <w:pStyle w:val="ListParagraph"/>
        <w:numPr>
          <w:ilvl w:val="0"/>
          <w:numId w:val="2"/>
        </w:numPr>
        <w:spacing w:after="60" w:line="276" w:lineRule="auto"/>
        <w:jc w:val="both"/>
      </w:pPr>
      <w:r>
        <w:rPr>
          <w:rFonts w:ascii="Times New Roman" w:cs="Times New Roman" w:eastAsia="Times New Roman" w:hAnsi="Times New Roman"/>
          <w:b/>
          <w:bCs/>
        </w:rPr>
        <w:t xml:space="preserve">Known defects as backlog items.</w:t>
      </w:r>
      <w:r>
        <w:rPr>
          <w:rFonts w:ascii="Times New Roman" w:cs="Times New Roman" w:eastAsia="Times New Roman" w:hAnsi="Times New Roman"/>
        </w:rPr>
        <w:t xml:space="preserve"> Defects found by audits are recorded as backlog items with an owner and a sprint, for example T-1 (concurrent duplicate submissions return HTTP 500 instead of 409).</w:t>
      </w:r>
    </w:p>
    <w:p>
      <w:pPr>
        <w:pStyle w:val="Heading3"/>
      </w:pPr>
      <w:r>
        <w:rPr>
          <w:rFonts w:ascii="Times New Roman" w:cs="Times New Roman" w:eastAsia="Times New Roman" w:hAnsi="Times New Roman"/>
        </w:rPr>
        <w:t xml:space="preserve">2.6 Project Management Tools</w:t>
      </w:r>
    </w:p>
    <w:p>
      <w:pPr>
        <w:spacing w:after="120" w:line="276" w:lineRule="auto"/>
        <w:jc w:val="both"/>
      </w:pPr>
      <w:r>
        <w:rPr>
          <w:rFonts w:ascii="Times New Roman" w:cs="Times New Roman" w:eastAsia="Times New Roman" w:hAnsi="Times New Roman"/>
        </w:rPr>
        <w:t xml:space="preserve">The Product Backlog is kept in </w:t>
      </w:r>
      <w:r>
        <w:rPr>
          <w:rFonts w:ascii="Times New Roman" w:cs="Times New Roman" w:eastAsia="Times New Roman" w:hAnsi="Times New Roman"/>
          <w:b/>
          <w:bCs/>
        </w:rPr>
        <w:t xml:space="preserve">GitHub Projects</w:t>
      </w:r>
      <w:r>
        <w:rPr>
          <w:rFonts w:ascii="Times New Roman" w:cs="Times New Roman" w:eastAsia="Times New Roman" w:hAnsi="Times New Roman"/>
        </w:rPr>
        <w:t xml:space="preserve">, linked to the project repository. Each requirement FR-01 to FR-20 is an issue written as a user story with acceptance criteria, together with four technical items: T-1 (the HTTP 409 fix), T-2 (the model evaluation), T-3 (the performance measurement) and T-4 (the throttling of the authentication endpoints). The project has custom fields for the MoSCoW priority, the requirement ID, the sprint (an iteration field with two-week iterations from 2 November 2026) and the status. Three views serve different purposes: a backlog table grouped by sprint (Figure 2.3), a board of the current sprint by status, and a roadmap of the sprints over time (Figure 2.4). Each sprint also has a repository milestone.</w:t>
      </w:r>
    </w:p>
    <w:p>
      <w:pPr>
        <w:keepNext/>
        <w:spacing w:after="0" w:before="120" w:line="240" w:lineRule="auto"/>
        <w:jc w:val="center"/>
      </w:pPr>
      <w:r>
        <w:drawing>
          <wp:inline distT="0" distB="0" distL="0" distR="0">
            <wp:extent cx="5905500" cy="3324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pStyle w:val="FigureCaption"/>
        <w:keepNext w:val="false"/>
        <w:spacing w:after="120" w:before="120"/>
        <w:jc w:val="center"/>
      </w:pPr>
      <w:r>
        <w:rPr>
          <w:rFonts w:ascii="Times New Roman" w:cs="Times New Roman" w:eastAsia="Times New Roman" w:hAnsi="Times New Roman"/>
          <w:b/>
          <w:bCs/>
          <w:sz w:val="20"/>
          <w:szCs w:val="20"/>
        </w:rPr>
        <w:t xml:space="preserve">Figure 2.3: Product Backlog in GitHub Projects (Table View Grouped by Sprint)</w:t>
      </w:r>
    </w:p>
    <w:p>
      <w:pPr>
        <w:keepNext/>
        <w:spacing w:after="0" w:before="120" w:line="240" w:lineRule="auto"/>
        <w:jc w:val="center"/>
      </w:pPr>
      <w:r>
        <w:drawing>
          <wp:inline distT="0" distB="0" distL="0" distR="0">
            <wp:extent cx="5905500" cy="3324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pStyle w:val="FigureCaption"/>
        <w:keepNext w:val="false"/>
        <w:spacing w:after="120" w:before="120"/>
        <w:jc w:val="center"/>
      </w:pPr>
      <w:r>
        <w:rPr>
          <w:rFonts w:ascii="Times New Roman" w:cs="Times New Roman" w:eastAsia="Times New Roman" w:hAnsi="Times New Roman"/>
          <w:b/>
          <w:bCs/>
          <w:sz w:val="20"/>
          <w:szCs w:val="20"/>
        </w:rPr>
        <w:t xml:space="preserve">Figure 2.4: Sprint Roadmap in GitHub Projects</w:t>
      </w:r>
    </w:p>
    <w:p>
      <w:pPr>
        <w:spacing w:after="120" w:line="276" w:lineRule="auto"/>
        <w:jc w:val="both"/>
      </w:pPr>
      <w:r>
        <w:rPr>
          <w:rFonts w:ascii="Times New Roman" w:cs="Times New Roman" w:eastAsia="Times New Roman" w:hAnsi="Times New Roman"/>
        </w:rPr>
        <w:t xml:space="preserve">GitHub Projects was preferred over Jira because the issues, the pull requests that implement them and the CI results live in the same place: a requirement links directly to the code and tests that satisfy it, and no second system has to be kept in sync by hand. The schedule is maintained as a Gantt chart (Figure 2.2), and a decision log records each project decision with its reason and the rejected alternative.</w:t>
      </w:r>
    </w:p>
    <w:p>
      <w:pPr>
        <w:pStyle w:val="Heading3"/>
      </w:pPr>
      <w:r>
        <w:rPr>
          <w:rFonts w:ascii="Times New Roman" w:cs="Times New Roman" w:eastAsia="Times New Roman" w:hAnsi="Times New Roman"/>
        </w:rPr>
        <w:t xml:space="preserve">2.7 Monitoring and Continuous Evaluation</w:t>
      </w:r>
    </w:p>
    <w:p>
      <w:pPr>
        <w:spacing w:after="120" w:line="276" w:lineRule="auto"/>
        <w:jc w:val="both"/>
      </w:pPr>
      <w:r>
        <w:rPr>
          <w:rFonts w:ascii="Times New Roman" w:cs="Times New Roman" w:eastAsia="Times New Roman" w:hAnsi="Times New Roman"/>
        </w:rPr>
        <w:t xml:space="preserve">Progress is monitored at three levels. Within a sprint, the board shows the status of each item, and the CI result of each pull request shows whether the work meets the Definition of Done. At the end of each sprint, the Sprint Review presents the Increment to the supervisors and collects their feedback, and the Retrospective decides what the team changes in the next sprint. At the phase level, Seminar 1 and Seminar 2 are external checkpoints where the committee reviews the plan and the results.</w:t>
      </w:r>
    </w:p>
    <w:p>
      <w:pPr>
        <w:spacing w:after="120" w:line="276" w:lineRule="auto"/>
        <w:jc w:val="both"/>
      </w:pPr>
      <w:r>
        <w:rPr>
          <w:rFonts w:ascii="Times New Roman" w:cs="Times New Roman" w:eastAsia="Times New Roman" w:hAnsi="Times New Roman"/>
        </w:rPr>
        <w:t xml:space="preserve">Because issues close only when an Increment is released to the main branch (Section 2.8.4), the number of closed issues per release gives a simple measure of delivered scope, and the board's status column shows work in progress between releases.</w:t>
      </w:r>
    </w:p>
    <w:p>
      <w:pPr>
        <w:pStyle w:val="Heading3"/>
      </w:pPr>
      <w:r>
        <w:rPr>
          <w:rFonts w:ascii="Times New Roman" w:cs="Times New Roman" w:eastAsia="Times New Roman" w:hAnsi="Times New Roman"/>
        </w:rPr>
        <w:t xml:space="preserve">2.8 Software Configuration Management</w:t>
      </w:r>
    </w:p>
    <w:p>
      <w:pPr>
        <w:spacing w:after="120" w:line="276" w:lineRule="auto"/>
        <w:jc w:val="both"/>
      </w:pPr>
      <w:r>
        <w:rPr>
          <w:rFonts w:ascii="Times New Roman" w:cs="Times New Roman" w:eastAsia="Times New Roman" w:hAnsi="Times New Roman"/>
        </w:rPr>
        <w:t xml:space="preserve">Software Configuration Management (SCM) controls the changes to source code, dependencies, database migrations, configuration and documentation. The project is versioned with </w:t>
      </w:r>
      <w:r>
        <w:rPr>
          <w:rFonts w:ascii="Times New Roman" w:cs="Times New Roman" w:eastAsia="Times New Roman" w:hAnsi="Times New Roman"/>
          <w:b/>
          <w:bCs/>
        </w:rPr>
        <w:t xml:space="preserve">Git</w:t>
      </w:r>
      <w:r>
        <w:rPr>
          <w:rFonts w:ascii="Times New Roman" w:cs="Times New Roman" w:eastAsia="Times New Roman" w:hAnsi="Times New Roman"/>
        </w:rPr>
        <w:t xml:space="preserve"> and hosted on </w:t>
      </w:r>
      <w:r>
        <w:rPr>
          <w:rFonts w:ascii="Times New Roman" w:cs="Times New Roman" w:eastAsia="Times New Roman" w:hAnsi="Times New Roman"/>
          <w:b/>
          <w:bCs/>
        </w:rPr>
        <w:t xml:space="preserve">GitHub</w:t>
      </w:r>
      <w:r>
        <w:rPr>
          <w:rFonts w:ascii="Times New Roman" w:cs="Times New Roman" w:eastAsia="Times New Roman" w:hAnsi="Times New Roman"/>
        </w:rPr>
        <w:t xml:space="preserve"> in the repository Yaman8almatar/smart-survey-platform.</w:t>
      </w:r>
    </w:p>
    <w:p>
      <w:pPr>
        <w:pStyle w:val="Heading4"/>
      </w:pPr>
      <w:r>
        <w:rPr>
          <w:rFonts w:ascii="Times New Roman" w:cs="Times New Roman" w:eastAsia="Times New Roman" w:hAnsi="Times New Roman"/>
        </w:rPr>
        <w:t xml:space="preserve">2.8.1 Git Repository Structure</w:t>
      </w:r>
    </w:p>
    <w:p>
      <w:pPr>
        <w:spacing w:after="120" w:line="276" w:lineRule="auto"/>
        <w:jc w:val="both"/>
      </w:pPr>
      <w:r>
        <w:rPr>
          <w:rFonts w:ascii="Times New Roman" w:cs="Times New Roman" w:eastAsia="Times New Roman" w:hAnsi="Times New Roman"/>
        </w:rPr>
        <w:t xml:space="preserve">Since Graduation Project 1 adds a mobile application to the existing web system, the repository was reorganised into a monorepo at the start of this phase, so the backend, the app, the diagrams and the documents are versioned together. Table 2.4 lists its main elements.</w:t>
      </w:r>
    </w:p>
    <w:p>
      <w:pPr>
        <w:pStyle w:val="TableCaption"/>
        <w:keepNext/>
        <w:spacing w:after="120" w:before="120"/>
        <w:jc w:val="center"/>
      </w:pPr>
      <w:r>
        <w:rPr>
          <w:rFonts w:ascii="Times New Roman" w:cs="Times New Roman" w:eastAsia="Times New Roman" w:hAnsi="Times New Roman"/>
          <w:b/>
          <w:bCs/>
          <w:sz w:val="20"/>
          <w:szCs w:val="20"/>
        </w:rPr>
        <w:t xml:space="preserve">Table 2.4: Git Repository Structure</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633"/>
        <w:gridCol w:w="6773"/>
      </w:tblGrid>
      <w:tr>
        <w:trPr>
          <w:cantSplit/>
          <w:tblHeader/>
        </w:trPr>
        <w:tc>
          <w:tcPr>
            <w:tcW w:type="dxa" w:w="26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Repository Element</w:t>
            </w:r>
          </w:p>
        </w:tc>
        <w:tc>
          <w:tcPr>
            <w:tcW w:type="dxa" w:w="67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Purpose</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backend/</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Django project: apps (models, views, REST API), services, repositories, infrastructure (external model client), templates, static files and tests.</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frontend/</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Flutter respondent application: source code (lib/) and tests (test/).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diagrams/</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Diagram sources (Mermaid) with SVG and PNG exports, including the three use case diagrams.</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documentation/</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Junior project documents and the Graduation Project 1 report and slides.</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planning/</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Project status, the REST API contract and the backend audit.</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.github/workflows/</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Continuous integration: Django CI and Flutter CI.</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docker-compose.yml</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PostgreSQL 15 for local development, the single database source.</w:t>
            </w:r>
          </w:p>
        </w:tc>
      </w:tr>
      <w:tr>
        <w:trPr>
          <w:cantSplit/>
        </w:trPr>
        <w:tc>
          <w:tcPr>
            <w:tcW w:type="dxa" w:w="26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README.md, CONTRIBUTING.md</w:t>
            </w:r>
          </w:p>
        </w:tc>
        <w:tc>
          <w:tcPr>
            <w:tcW w:type="dxa" w:w="67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Project description, setup instructions, and branching and commit rules.</w:t>
            </w:r>
          </w:p>
        </w:tc>
      </w:tr>
    </w:tbl>
    <w:p>
      <w:pPr>
        <w:spacing w:after="60"/>
      </w:pPr>
    </w:p>
    <w:p>
      <w:pPr>
        <w:pStyle w:val="Heading4"/>
      </w:pPr>
      <w:r>
        <w:rPr>
          <w:rFonts w:ascii="Times New Roman" w:cs="Times New Roman" w:eastAsia="Times New Roman" w:hAnsi="Times New Roman"/>
        </w:rPr>
        <w:t xml:space="preserve">2.8.2 Branching and Merging Strategy</w:t>
      </w:r>
    </w:p>
    <w:p>
      <w:pPr>
        <w:spacing w:after="120" w:line="276" w:lineRule="auto"/>
        <w:jc w:val="both"/>
      </w:pPr>
      <w:r>
        <w:rPr>
          <w:rFonts w:ascii="Times New Roman" w:cs="Times New Roman" w:eastAsia="Times New Roman" w:hAnsi="Times New Roman"/>
        </w:rPr>
        <w:t xml:space="preserve">The branching model separates releases, integration and individual tasks (Table 2.5 and Figure 2.5). Task branches are short-lived and squash-merged into develop, so each task appears as one commit. Releases from develop to main use a merge commit instead of a squash: a squashed release would give main a commit that develop does not contain, and the next release would replay the same changes.</w:t>
      </w:r>
    </w:p>
    <w:p>
      <w:pPr>
        <w:pStyle w:val="TableCaption"/>
        <w:keepNext/>
        <w:spacing w:after="120" w:before="120"/>
        <w:jc w:val="center"/>
      </w:pPr>
      <w:r>
        <w:rPr>
          <w:rFonts w:ascii="Times New Roman" w:cs="Times New Roman" w:eastAsia="Times New Roman" w:hAnsi="Times New Roman"/>
          <w:b/>
          <w:bCs/>
          <w:sz w:val="20"/>
          <w:szCs w:val="20"/>
        </w:rPr>
        <w:t xml:space="preserve">Table 2.5: Branching Strategy</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821"/>
        <w:gridCol w:w="6585"/>
      </w:tblGrid>
      <w:tr>
        <w:trPr>
          <w:cantSplit/>
          <w:tblHeader/>
        </w:trPr>
        <w:tc>
          <w:tcPr>
            <w:tcW w:type="dxa" w:w="282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Branch</w:t>
            </w:r>
          </w:p>
        </w:tc>
        <w:tc>
          <w:tcPr>
            <w:tcW w:type="dxa" w:w="65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Purpose</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main</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Default branch; holds released, tagged versions only.</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develop</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Integration branch; receives every completed task.</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feature/&lt;name&gt;</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new feature from the backlog.</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fix/&lt;name&gt;</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 defect fix.</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chore/&lt;name&gt;, docs/&lt;name&gt;</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Tooling, configuration or documentation changes.</w:t>
            </w:r>
          </w:p>
        </w:tc>
      </w:tr>
    </w:tbl>
    <w:p>
      <w:pPr>
        <w:spacing w:after="60"/>
      </w:pPr>
    </w:p>
    <w:p>
      <w:pPr>
        <w:keepNext/>
        <w:spacing w:after="0" w:before="120" w:line="240" w:lineRule="auto"/>
        <w:jc w:val="center"/>
      </w:pPr>
      <w:r>
        <w:drawing>
          <wp:inline distT="0" distB="0" distL="0" distR="0">
            <wp:extent cx="5905500" cy="1885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1885950"/>
                    </a:xfrm>
                    <a:prstGeom prst="rect">
                      <a:avLst/>
                    </a:prstGeom>
                  </pic:spPr>
                </pic:pic>
              </a:graphicData>
            </a:graphic>
          </wp:inline>
        </w:drawing>
      </w:r>
    </w:p>
    <w:p>
      <w:pPr>
        <w:pStyle w:val="FigureCaption"/>
        <w:keepNext w:val="false"/>
        <w:spacing w:after="120" w:before="120"/>
        <w:jc w:val="center"/>
      </w:pPr>
      <w:r>
        <w:rPr>
          <w:rFonts w:ascii="Times New Roman" w:cs="Times New Roman" w:eastAsia="Times New Roman" w:hAnsi="Times New Roman"/>
          <w:b/>
          <w:bCs/>
          <w:sz w:val="20"/>
          <w:szCs w:val="20"/>
        </w:rPr>
        <w:t xml:space="preserve">Figure 2.5: Branching and Release Flow</w:t>
      </w:r>
    </w:p>
    <w:p>
      <w:pPr>
        <w:pStyle w:val="Heading4"/>
      </w:pPr>
      <w:r>
        <w:rPr>
          <w:rFonts w:ascii="Times New Roman" w:cs="Times New Roman" w:eastAsia="Times New Roman" w:hAnsi="Times New Roman"/>
        </w:rPr>
        <w:t xml:space="preserve">2.8.3 Development Workflow</w:t>
      </w:r>
    </w:p>
    <w:p>
      <w:pPr>
        <w:spacing w:after="120" w:line="276" w:lineRule="auto"/>
        <w:jc w:val="both"/>
      </w:pPr>
      <w:r>
        <w:rPr>
          <w:rFonts w:ascii="Times New Roman" w:cs="Times New Roman" w:eastAsia="Times New Roman" w:hAnsi="Times New Roman"/>
        </w:rPr>
        <w:t xml:space="preserve">Each backlog item follows the same workflow:</w:t>
      </w:r>
    </w:p>
    <w:p>
      <w:pPr>
        <w:pStyle w:val="ListParagraph"/>
        <w:numPr>
          <w:ilvl w:val="0"/>
          <w:numId w:val="3"/>
        </w:numPr>
        <w:spacing w:after="60" w:line="276" w:lineRule="auto"/>
        <w:jc w:val="both"/>
      </w:pPr>
      <w:r>
        <w:rPr>
          <w:rFonts w:ascii="Times New Roman" w:cs="Times New Roman" w:eastAsia="Times New Roman" w:hAnsi="Times New Roman"/>
        </w:rPr>
        <w:t xml:space="preserve">At Sprint Planning the item is selected and its status is set to In Progress.</w:t>
      </w:r>
    </w:p>
    <w:p>
      <w:pPr>
        <w:pStyle w:val="ListParagraph"/>
        <w:numPr>
          <w:ilvl w:val="0"/>
          <w:numId w:val="3"/>
        </w:numPr>
        <w:spacing w:after="60" w:line="276" w:lineRule="auto"/>
        <w:jc w:val="both"/>
      </w:pPr>
      <w:r>
        <w:rPr>
          <w:rFonts w:ascii="Times New Roman" w:cs="Times New Roman" w:eastAsia="Times New Roman" w:hAnsi="Times New Roman"/>
        </w:rPr>
        <w:t xml:space="preserve">A short-lived branch is created from develop.</w:t>
      </w:r>
    </w:p>
    <w:p>
      <w:pPr>
        <w:pStyle w:val="ListParagraph"/>
        <w:numPr>
          <w:ilvl w:val="0"/>
          <w:numId w:val="3"/>
        </w:numPr>
        <w:spacing w:after="60" w:line="276" w:lineRule="auto"/>
        <w:jc w:val="both"/>
      </w:pPr>
      <w:r>
        <w:rPr>
          <w:rFonts w:ascii="Times New Roman" w:cs="Times New Roman" w:eastAsia="Times New Roman" w:hAnsi="Times New Roman"/>
        </w:rPr>
        <w:t xml:space="preserve">The change is implemented together with its tests, in small commits that credit every participating teammate.</w:t>
      </w:r>
    </w:p>
    <w:p>
      <w:pPr>
        <w:pStyle w:val="ListParagraph"/>
        <w:numPr>
          <w:ilvl w:val="0"/>
          <w:numId w:val="3"/>
        </w:numPr>
        <w:spacing w:after="60" w:line="276" w:lineRule="auto"/>
        <w:jc w:val="both"/>
      </w:pPr>
      <w:r>
        <w:rPr>
          <w:rFonts w:ascii="Times New Roman" w:cs="Times New Roman" w:eastAsia="Times New Roman" w:hAnsi="Times New Roman"/>
        </w:rPr>
        <w:t xml:space="preserve">A pull request to develop is opened; it references the backlog issue.</w:t>
      </w:r>
    </w:p>
    <w:p>
      <w:pPr>
        <w:pStyle w:val="ListParagraph"/>
        <w:numPr>
          <w:ilvl w:val="0"/>
          <w:numId w:val="3"/>
        </w:numPr>
        <w:spacing w:after="60" w:line="276" w:lineRule="auto"/>
        <w:jc w:val="both"/>
      </w:pPr>
      <w:r>
        <w:rPr>
          <w:rFonts w:ascii="Times New Roman" w:cs="Times New Roman" w:eastAsia="Times New Roman" w:hAnsi="Times New Roman"/>
        </w:rPr>
        <w:t xml:space="preserve">The CI workflows run; the pull request is squash-merged only when they pass, and the branch is deleted.</w:t>
      </w:r>
    </w:p>
    <w:p>
      <w:pPr>
        <w:pStyle w:val="ListParagraph"/>
        <w:numPr>
          <w:ilvl w:val="0"/>
          <w:numId w:val="3"/>
        </w:numPr>
        <w:spacing w:after="60" w:line="276" w:lineRule="auto"/>
        <w:jc w:val="both"/>
      </w:pPr>
      <w:r>
        <w:rPr>
          <w:rFonts w:ascii="Times New Roman" w:cs="Times New Roman" w:eastAsia="Times New Roman" w:hAnsi="Times New Roman"/>
        </w:rPr>
        <w:t xml:space="preserve">At the Sprint Review, develop is merged into main by a release pull request and the release is tagged; the issues referenced by the sprint's pull requests close at this point.</w:t>
      </w:r>
    </w:p>
    <w:p>
      <w:pPr>
        <w:pStyle w:val="Heading4"/>
      </w:pPr>
      <w:r>
        <w:rPr>
          <w:rFonts w:ascii="Times New Roman" w:cs="Times New Roman" w:eastAsia="Times New Roman" w:hAnsi="Times New Roman"/>
        </w:rPr>
        <w:t xml:space="preserve">2.8.4 Tags and Release Management</w:t>
      </w:r>
    </w:p>
    <w:p>
      <w:pPr>
        <w:spacing w:after="120" w:line="276" w:lineRule="auto"/>
        <w:jc w:val="both"/>
      </w:pPr>
      <w:r>
        <w:rPr>
          <w:rFonts w:ascii="Times New Roman" w:cs="Times New Roman" w:eastAsia="Times New Roman" w:hAnsi="Times New Roman"/>
        </w:rPr>
        <w:t xml:space="preserve">GitHub closes an issue automatically only when the pull request that references it reaches the default branch, which is main. Issues therefore close when the sprint's Increment is released, which makes each release a clear record of the scope delivered in that sprint. Table 2.6 lists the release plan.</w:t>
      </w:r>
    </w:p>
    <w:p>
      <w:pPr>
        <w:pStyle w:val="TableCaption"/>
        <w:keepNext/>
        <w:spacing w:after="120" w:before="120"/>
        <w:jc w:val="center"/>
      </w:pPr>
      <w:r>
        <w:rPr>
          <w:rFonts w:ascii="Times New Roman" w:cs="Times New Roman" w:eastAsia="Times New Roman" w:hAnsi="Times New Roman"/>
          <w:b/>
          <w:bCs/>
          <w:sz w:val="20"/>
          <w:szCs w:val="20"/>
        </w:rPr>
        <w:t xml:space="preserve">Table 2.6: Release Management</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821"/>
        <w:gridCol w:w="6585"/>
      </w:tblGrid>
      <w:tr>
        <w:trPr>
          <w:cantSplit/>
          <w:tblHeader/>
        </w:trPr>
        <w:tc>
          <w:tcPr>
            <w:tcW w:type="dxa" w:w="282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Tag</w:t>
            </w:r>
          </w:p>
        </w:tc>
        <w:tc>
          <w:tcPr>
            <w:tcW w:type="dxa" w:w="65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Content</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V1.0, v1.0-junior-final</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Junior project release (May 2026).</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v1.1-iteration0</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End of Iteration 0: Seminar 1 outputs, diagrams, REST API and the first Flutter screens (30 October 2026).</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v1.2-sprint1 to v1.5-sprint4</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Increment of each sprint, released at its Sprint Review.</w:t>
            </w:r>
          </w:p>
        </w:tc>
      </w:tr>
      <w:tr>
        <w:trPr>
          <w:cantSplit/>
        </w:trPr>
        <w:tc>
          <w:tcPr>
            <w:tcW w:type="dxa" w:w="28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Graduation 1 release</w:t>
            </w:r>
          </w:p>
        </w:tc>
        <w:tc>
          <w:tcPr>
            <w:tcW w:type="dxa" w:w="658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The version submitted with the report in January 2027.</w:t>
            </w:r>
          </w:p>
        </w:tc>
      </w:tr>
    </w:tbl>
    <w:p>
      <w:pPr>
        <w:spacing w:after="60"/>
      </w:pPr>
    </w:p>
    <w:p>
      <w:pPr>
        <w:pStyle w:val="Heading4"/>
      </w:pPr>
      <w:r>
        <w:rPr>
          <w:rFonts w:ascii="Times New Roman" w:cs="Times New Roman" w:eastAsia="Times New Roman" w:hAnsi="Times New Roman"/>
        </w:rPr>
        <w:t xml:space="preserve">2.8.5 Configuration Items Controlled</w:t>
      </w:r>
    </w:p>
    <w:p>
      <w:pPr>
        <w:spacing w:after="120" w:line="276" w:lineRule="auto"/>
        <w:jc w:val="both"/>
      </w:pPr>
      <w:r>
        <w:rPr>
          <w:rFonts w:ascii="Times New Roman" w:cs="Times New Roman" w:eastAsia="Times New Roman" w:hAnsi="Times New Roman"/>
        </w:rPr>
        <w:t xml:space="preserve">The controlled configuration items are the source code of the backend and the app; the dependency files (backend/requirements.txt, frontend/pubspec.yaml and pubspec.lock); the database migrations; docker-compose.yml; the CI workflow files; the diagram sources; the API contract; and the documentation. Secrets such as the Django secret key, database credentials and model API tokens are never committed: they are read from environment variables, and an .env.example file documents the variables without their values.</w:t>
      </w:r>
    </w:p>
    <w:p>
      <w:pPr>
        <w:sectPr>
          <w:footerReference w:type="default" r:id="rId9"/>
          <w:type w:val="nextPage"/>
          <w:pgSz w:w="12240" w:h="15840" w:orient="portrait"/>
          <w:pgMar w:top="1417" w:right="1417" w:bottom="1417" w:left="1417" w:header="708" w:footer="708" w:gutter="0"/>
          <w:pgNumType/>
          <w:docGrid w:linePitch="360"/>
        </w:sectPr>
      </w:pPr>
    </w:p>
    <w:p>
      <w:pPr>
        <w:pStyle w:val="Heading1"/>
      </w:pPr>
      <w:r>
        <w:rPr>
          <w:rFonts w:ascii="Times New Roman" w:cs="Times New Roman" w:eastAsia="Times New Roman" w:hAnsi="Times New Roman"/>
        </w:rPr>
        <w:t xml:space="preserve">Section Two: Theoretical Study and Analysis</w:t>
      </w:r>
    </w:p>
    <w:p>
      <w:pPr>
        <w:pStyle w:val="Heading2"/>
      </w:pPr>
      <w:r>
        <w:rPr>
          <w:rFonts w:ascii="Times New Roman" w:cs="Times New Roman" w:eastAsia="Times New Roman" w:hAnsi="Times New Roman"/>
        </w:rPr>
        <w:t xml:space="preserve">Chapter 3: Literature Review and Related Work</w:t>
      </w:r>
    </w:p>
    <w:p>
      <w:pPr>
        <w:pStyle w:val="Heading3"/>
      </w:pPr>
      <w:r>
        <w:rPr>
          <w:rFonts w:ascii="Times New Roman" w:cs="Times New Roman" w:eastAsia="Times New Roman" w:hAnsi="Times New Roman"/>
        </w:rPr>
        <w:t xml:space="preserve">3.1 Previous Studies in Smart and Similar Systems</w:t>
      </w:r>
    </w:p>
    <w:p>
      <w:pPr>
        <w:spacing w:after="120" w:line="276" w:lineRule="auto"/>
        <w:jc w:val="both"/>
      </w:pPr>
      <w:r>
        <w:rPr>
          <w:rFonts w:ascii="Times New Roman" w:cs="Times New Roman" w:eastAsia="Times New Roman" w:hAnsi="Times New Roman"/>
        </w:rPr>
        <w:t xml:space="preserve">The review covers two strands that match the two core problems of the project: the quality of online survey data, and the automatic analysis of the sentiment of Arabic and English text. Nine studies from 2021 to 2025 were selected because each one measures something that a design decision in this project depends on. Table 3.1 summarises them.</w:t>
      </w:r>
    </w:p>
    <w:p>
      <w:pPr>
        <w:spacing w:after="120" w:line="276" w:lineRule="auto"/>
        <w:jc w:val="both"/>
      </w:pPr>
      <w:r>
        <w:rPr>
          <w:rFonts w:ascii="Times New Roman" w:cs="Times New Roman" w:eastAsia="Times New Roman" w:hAnsi="Times New Roman"/>
          <w:b/>
          <w:bCs/>
        </w:rPr>
        <w:t xml:space="preserve">Data quality of online respondents.</w:t>
      </w:r>
      <w:r>
        <w:rPr>
          <w:rFonts w:ascii="Times New Roman" w:cs="Times New Roman" w:eastAsia="Times New Roman" w:hAnsi="Times New Roman"/>
        </w:rPr>
        <w:t xml:space="preserve"> Peer et al. compared online platforms and panels and found that the share of participants who passed both attention checks ranged from 68.7% on Prolific to 22.1% on Dynata; how often and why participants used a platform predicted data quality better than their approval ratings [15]. Three of the five authors are affiliated with Prolific, which the reader should keep in mind. Douglas et al. compared five sources and found that Prolific and CloudResearch participants were more likely to pass attention checks, give meaningful answers, follow instructions, have unique IP addresses and locations, and work slowly enough to read the items; among the paid sources, the cost per high-quality respondent ranged from USD 1.90 on Prolific to USD 8.17 on Qualtrics panels [16]. Ward and Meade reviewed how to prevent, identify, report and remove careless responses, and proposed screening recommendations at several levels of strictness [17].</w:t>
      </w:r>
    </w:p>
    <w:p>
      <w:pPr>
        <w:spacing w:after="120" w:line="276" w:lineRule="auto"/>
        <w:jc w:val="both"/>
      </w:pPr>
      <w:r>
        <w:rPr>
          <w:rFonts w:ascii="Times New Roman" w:cs="Times New Roman" w:eastAsia="Times New Roman" w:hAnsi="Times New Roman"/>
          <w:b/>
          <w:bCs/>
        </w:rPr>
        <w:t xml:space="preserve">The arrival of AI respondents.</w:t>
      </w:r>
      <w:r>
        <w:rPr>
          <w:rFonts w:ascii="Times New Roman" w:cs="Times New Roman" w:eastAsia="Times New Roman" w:hAnsi="Times New Roman"/>
        </w:rPr>
        <w:t xml:space="preserve"> Westwood built an autonomous agent that passed 99.8% of attention checks across 43,000 tests and was not identified by the detection methods he tested; each fake response cost about USD 0.05, and adding 10 to 52 such responses would have flipped the predicted outcome of seven national polls before the 2024 United States election [18]. Zhang, Xu and Alvero found that 34% of participants recruited from an online platform reported using large language models to help answer open-ended questions, and that text written by these models was more homogeneous and more positive than human answers, especially for sensitive questions about social groups [19]. For this project, the second finding matters directly: AI-assisted answers can shift sentiment results towards positive.</w:t>
      </w:r>
    </w:p>
    <w:p>
      <w:pPr>
        <w:spacing w:after="120" w:line="276" w:lineRule="auto"/>
        <w:jc w:val="both"/>
      </w:pPr>
      <w:r>
        <w:rPr>
          <w:rFonts w:ascii="Times New Roman" w:cs="Times New Roman" w:eastAsia="Times New Roman" w:hAnsi="Times New Roman"/>
          <w:b/>
          <w:bCs/>
        </w:rPr>
        <w:t xml:space="preserve">Arabic sentiment analysis.</w:t>
      </w:r>
      <w:r>
        <w:rPr>
          <w:rFonts w:ascii="Times New Roman" w:cs="Times New Roman" w:eastAsia="Times New Roman" w:hAnsi="Times New Roman"/>
        </w:rPr>
        <w:t xml:space="preserve"> Abu Farha and Magdy benchmarked 24 transformer models on Arabic sentiment in dialectal tweets; MARBERT and AraBERT-large reached the best F1-PN of 0.724, against 0.625 for multilingual BERT [20]. Al-Thubaity et al. found that GPT-4 outperformed GPT-3.5 and Bard on dialectal Arabic sentiment and came close to a fully supervised Arabic BERT model [21]. Khondaker et al. evaluated ChatGPT on 44 Arabic tasks across more than 60 datasets and found it consistently surpassed by smaller models fine-tuned on Arabic, with weaker results on dialects than on MSA [22]. Finally, Lossio-Ventura et al. compared methods on real open-ended survey answers in English: lexicon-based tools reached 0.43–0.66 accuracy, a tweet-trained RoBERTa model 0.72–0.78, and ChatGPT 0.86–0.87, and the authors recommend validating any tool against human labels [23].</w:t>
      </w:r>
    </w:p>
    <w:p>
      <w:pPr>
        <w:spacing w:after="120" w:line="276" w:lineRule="auto"/>
        <w:jc w:val="both"/>
      </w:pPr>
      <w:r>
        <w:rPr>
          <w:rFonts w:ascii="Times New Roman" w:cs="Times New Roman" w:eastAsia="Times New Roman" w:hAnsi="Times New Roman"/>
        </w:rPr>
        <w:t xml:space="preserve">Together the studies show that data quality varies widely between respondent sources and has to be measured, that single checks are no longer sufficient, and that for Arabic sentiment a fine-tuned Arabic model remains a strong and cheap option while large language models are competitive and improving. None of the studies provides a platform that serves Syrian respondents, and only one evaluates sentiment methods on survey answers, in English.</w:t>
      </w:r>
    </w:p>
    <w:p>
      <w:pPr>
        <w:pStyle w:val="TableCaption"/>
        <w:keepNext/>
        <w:spacing w:after="120" w:before="120"/>
        <w:jc w:val="center"/>
      </w:pPr>
      <w:r>
        <w:rPr>
          <w:rFonts w:ascii="Times New Roman" w:cs="Times New Roman" w:eastAsia="Times New Roman" w:hAnsi="Times New Roman"/>
          <w:b/>
          <w:bCs/>
          <w:sz w:val="20"/>
          <w:szCs w:val="20"/>
        </w:rPr>
        <w:t xml:space="preserve">Table 3.1: Literature Review Summary</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257"/>
        <w:gridCol w:w="1693"/>
        <w:gridCol w:w="3198"/>
        <w:gridCol w:w="2258"/>
      </w:tblGrid>
      <w:tr>
        <w:trPr>
          <w:cantSplit/>
          <w:tblHeader/>
        </w:trPr>
        <w:tc>
          <w:tcPr>
            <w:tcW w:type="dxa" w:w="22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Reference</w:t>
            </w:r>
          </w:p>
        </w:tc>
        <w:tc>
          <w:tcPr>
            <w:tcW w:type="dxa" w:w="169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Focus</w:t>
            </w:r>
          </w:p>
        </w:tc>
        <w:tc>
          <w:tcPr>
            <w:tcW w:type="dxa" w:w="319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Main Finding</w:t>
            </w:r>
          </w:p>
        </w:tc>
        <w:tc>
          <w:tcPr>
            <w:tcW w:type="dxa" w:w="22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Gap for This Project</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Peer et al., 2022 [15]</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Platform data quality</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Attention-check pass rates from 68.7% to 22.1% by platform.</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Measures panels; offers no platform for Syria.</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Douglas et al., 2023 [16]</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Platform data quality</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Two platforms clearly better on attention, effort and unique IPs; cost per good respondent USD 1.90–8.17.</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Commercial panels; quality checks outside the survey tool.</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Ward &amp; Meade, 2023 [17]</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Careless responding</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Prevention, identification, reporting and removal, with screening levels.</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Method guidance only; implementation left to the researcher.</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Westwood, 2025 [18]</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AI respondents</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An AI agent passed 99.8% of attention checks and evaded detection.</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Shows the threat; no platform-level defence evaluated.</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Zhang, Xu &amp; Alvero, 2025 [19]</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AI-assisted open answers</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34% of participants used LLMs; answers more homogeneous and positive.</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 detection method in a production system.</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Abu Farha &amp; Magdy, 2021 [20]</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Arabic sentiment models</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24 models compared; best F1-PN 0.724 (MARBERT, AraBERT-large).</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Tweets, not survey answers.</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Al-Thubaity et al., 2023 [21]</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LLMs for Arabic sentiment</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GPT-4 near a supervised Arabic BERT on dialectal sentiment.</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Social-media text; no survey domain.</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Khondaker et al., 2023 [22]</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LLMs on Arabic NLP</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Smaller fine-tuned Arabic models beat ChatGPT on 44 tasks.</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General benchmarks; no survey domain.</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Lossio-Ventura et al., 2024 [23]</w:t>
            </w:r>
          </w:p>
        </w:tc>
        <w:tc>
          <w:tcPr>
            <w:tcW w:type="dxa" w:w="1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Sentiment of survey answers</w:t>
            </w:r>
          </w:p>
        </w:tc>
        <w:tc>
          <w:tcPr>
            <w:tcW w:type="dxa" w:w="31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Lexicons 0.43–0.66, RoBERTa 0.72–0.78, ChatGPT 0.86–0.87 accuracy.</w:t>
            </w:r>
          </w:p>
        </w:tc>
        <w:tc>
          <w:tcPr>
            <w:tcW w:type="dxa" w:w="225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English only.</w:t>
            </w:r>
          </w:p>
        </w:tc>
      </w:tr>
    </w:tbl>
    <w:p>
      <w:pPr>
        <w:spacing w:after="60"/>
      </w:pPr>
    </w:p>
    <w:p>
      <w:pPr>
        <w:pStyle w:val="Heading3"/>
      </w:pPr>
      <w:r>
        <w:rPr>
          <w:rFonts w:ascii="Times New Roman" w:cs="Times New Roman" w:eastAsia="Times New Roman" w:hAnsi="Times New Roman"/>
        </w:rPr>
        <w:t xml:space="preserve">3.2 Modern Techniques and Frameworks in the Field</w:t>
      </w:r>
    </w:p>
    <w:p>
      <w:pPr>
        <w:spacing w:after="120" w:line="276" w:lineRule="auto"/>
        <w:jc w:val="both"/>
      </w:pPr>
      <w:r>
        <w:rPr>
          <w:rFonts w:ascii="Times New Roman" w:cs="Times New Roman" w:eastAsia="Times New Roman" w:hAnsi="Times New Roman"/>
        </w:rPr>
        <w:t xml:space="preserve">Table 3.2 lists the main technologies used in Graduation Project 1 and the reason for each choice. The backend keeps the Django code base of V1.0, whose business rules are independent of HTTP, and adds a REST API for the mobile app.</w:t>
      </w:r>
    </w:p>
    <w:p>
      <w:pPr>
        <w:pStyle w:val="TableCaption"/>
        <w:keepNext/>
        <w:spacing w:after="120" w:before="120"/>
        <w:jc w:val="center"/>
      </w:pPr>
      <w:r>
        <w:rPr>
          <w:rFonts w:ascii="Times New Roman" w:cs="Times New Roman" w:eastAsia="Times New Roman" w:hAnsi="Times New Roman"/>
          <w:b/>
          <w:bCs/>
          <w:sz w:val="20"/>
          <w:szCs w:val="20"/>
        </w:rPr>
        <w:t xml:space="preserve">Table 3.2: Techniques and Frameworks</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2257"/>
        <w:gridCol w:w="3009"/>
        <w:gridCol w:w="4140"/>
      </w:tblGrid>
      <w:tr>
        <w:trPr>
          <w:cantSplit/>
          <w:tblHeader/>
        </w:trPr>
        <w:tc>
          <w:tcPr>
            <w:tcW w:type="dxa" w:w="22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Technology</w:t>
            </w:r>
          </w:p>
        </w:tc>
        <w:tc>
          <w:tcPr>
            <w:tcW w:type="dxa" w:w="300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Role in Smart Survey</w:t>
            </w:r>
          </w:p>
        </w:tc>
        <w:tc>
          <w:tcPr>
            <w:tcW w:type="dxa" w:w="41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Reason for the Choice</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Django 4.2 (MVT)</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Provider and administrator web pages; models, services and repositories.</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Existing V1.0 code base with its tests; Django's model-template-view form of MVC [24]. Its extended support ended in April 2026 (risk RK-09).</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Django REST Framework + Simple JWT</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JSON API at /api/v1/ for the respondent app.</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Reuses the existing services; token authentication that suits a mobile client [25].</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Flutter (Dart)</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Respondent mobile application.</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One code base for Android and the web; the supervisors asked for an interactive mobile interface.</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PostgreSQL 15 in Docker</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Relational data store.</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Constraints enforce data integrity (for example one response per respondent per survey); one compose file for every developer.</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Pretrained transformer models</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Sentiment classification of open answers.</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Arabic models such as AraBERT [26], CAMeLBERT [27] and MARBERT [28], built on BERT [29], reach strong Arabic sentiment results without training by the team.</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Large language models through an API</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Candidate in the model comparison (T-2).</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Competitive on Arabic sentiment [21]; included so the choice is made by measurement, not assumption.</w:t>
            </w:r>
          </w:p>
        </w:tc>
      </w:tr>
      <w:tr>
        <w:trPr>
          <w:cantSplit/>
        </w:trPr>
        <w:tc>
          <w:tcPr>
            <w:tcW w:type="dxa" w:w="22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GitHub Actions</w:t>
            </w:r>
          </w:p>
        </w:tc>
        <w:tc>
          <w:tcPr>
            <w:tcW w:type="dxa" w:w="30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Continuous integration.</w:t>
            </w:r>
          </w:p>
        </w:tc>
        <w:tc>
          <w:tcPr>
            <w:tcW w:type="dxa" w:w="41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Runs the backend and app tests on every pull request in the same place as the code and the backlog.</w:t>
            </w:r>
          </w:p>
        </w:tc>
      </w:tr>
    </w:tbl>
    <w:p>
      <w:pPr>
        <w:spacing w:after="60"/>
      </w:pPr>
    </w:p>
    <w:p>
      <w:pPr>
        <w:spacing w:after="120" w:line="276" w:lineRule="auto"/>
        <w:jc w:val="both"/>
      </w:pPr>
      <w:r>
        <w:rPr>
          <w:rFonts w:ascii="Times New Roman" w:cs="Times New Roman" w:eastAsia="Times New Roman" w:hAnsi="Times New Roman"/>
        </w:rPr>
        <w:t xml:space="preserve">For Arabic text, the key result for model choice is that the closeness of the pre-training data to the target text matters more than the size of the pre-training corpus: CAMeLBERT trained on MSA reached 93.0 F1-PN on the ArSAS dataset, against 88.4 for multilingual BERT [27]. Since the project analyses MSA and English, MSA-pretrained and multilingual models are both candidates, and the comparison in Sprint 2 decides between them.</w:t>
      </w:r>
    </w:p>
    <w:p>
      <w:pPr>
        <w:pStyle w:val="Heading3"/>
      </w:pPr>
      <w:r>
        <w:rPr>
          <w:rFonts w:ascii="Times New Roman" w:cs="Times New Roman" w:eastAsia="Times New Roman" w:hAnsi="Times New Roman"/>
        </w:rPr>
        <w:t xml:space="preserve">3.3 Comparative Analysis of Existing Systems</w:t>
      </w:r>
    </w:p>
    <w:p>
      <w:pPr>
        <w:spacing w:after="120" w:line="276" w:lineRule="auto"/>
        <w:jc w:val="both"/>
      </w:pPr>
      <w:r>
        <w:rPr>
          <w:rFonts w:ascii="Times New Roman" w:cs="Times New Roman" w:eastAsia="Times New Roman" w:hAnsi="Times New Roman"/>
        </w:rPr>
        <w:t xml:space="preserve">Six platforms were compared on the three capabilities that define Smart Survey: targeting respondents by profile, checking response quality, and analysing the sentiment of open answers. Three are survey builders, where the owner brings the respondents, and three are panels, which sell access to profiled respondents. Table 3.3 summarises the comparison. Facts were taken from the platforms' official help pages between 23 and 27 October 2026; "not stated" means that the pages read do not state the feature, not that the feature is certainly missing.</w:t>
      </w:r>
    </w:p>
    <w:p>
      <w:pPr>
        <w:pStyle w:val="TableCaption"/>
        <w:keepNext/>
        <w:spacing w:after="120" w:before="120"/>
        <w:jc w:val="center"/>
      </w:pPr>
      <w:r>
        <w:rPr>
          <w:rFonts w:ascii="Times New Roman" w:cs="Times New Roman" w:eastAsia="Times New Roman" w:hAnsi="Times New Roman"/>
          <w:b/>
          <w:bCs/>
          <w:sz w:val="20"/>
          <w:szCs w:val="20"/>
        </w:rPr>
        <w:t xml:space="preserve">Table 3.3: Comparison of Existing Platforms</w:t>
      </w:r>
    </w:p>
    <w:tbl>
      <w:tblPr>
        <w:tblW w:type="dxa" w:w="9406"/>
        <w:jc w:val="center"/>
        <w:tblBorders>
          <w:top w:val="single" w:color="auto" w:sz="4"/>
          <w:left w:val="single" w:color="auto" w:sz="4"/>
          <w:bottom w:val="single" w:color="auto" w:sz="4"/>
          <w:right w:val="single" w:color="auto" w:sz="4"/>
          <w:insideH w:val="single" w:color="auto" w:sz="4"/>
          <w:insideV w:val="single" w:color="auto" w:sz="4"/>
        </w:tblBorders>
      </w:tblPr>
      <w:tblGrid>
        <w:gridCol w:w="1599"/>
        <w:gridCol w:w="940"/>
        <w:gridCol w:w="1410"/>
        <w:gridCol w:w="2069"/>
        <w:gridCol w:w="1975"/>
        <w:gridCol w:w="1413"/>
      </w:tblGrid>
      <w:tr>
        <w:trPr>
          <w:cantSplit/>
          <w:tblHeader/>
        </w:trPr>
        <w:tc>
          <w:tcPr>
            <w:tcW w:type="dxa" w:w="159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Platform</w:t>
            </w:r>
          </w:p>
        </w:tc>
        <w:tc>
          <w:tcPr>
            <w:tcW w:type="dxa" w:w="9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Type</w:t>
            </w:r>
          </w:p>
        </w:tc>
        <w:tc>
          <w:tcPr>
            <w:tcW w:type="dxa" w:w="141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Targeting</w:t>
            </w:r>
          </w:p>
        </w:tc>
        <w:tc>
          <w:tcPr>
            <w:tcW w:type="dxa" w:w="206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Quality Checks</w:t>
            </w:r>
          </w:p>
        </w:tc>
        <w:tc>
          <w:tcPr>
            <w:tcW w:type="dxa" w:w="19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Sentiment of Open Answers</w:t>
            </w:r>
          </w:p>
        </w:tc>
        <w:tc>
          <w:tcPr>
            <w:tcW w:type="dxa" w:w="141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Main Weakness</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Google Forms</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Builder</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None</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One response per Google account [30]</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Gemini summaries on paid Workspace plans; no per-answer label [7]</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 targeting</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Typeform</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Builder</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None</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reCAPTCHA; duplicate prevention by cookie on upper plans [31]</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Smart Insights on upper plans; English only [5]</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Duplicate check bypassed by clearing cookies</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SurveyMonkey</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Builder</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Only through the paid Audience panel</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One response per respondent; IP blocking [32]</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On some paid plans; languages not stated [6]</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Targeting is a separate product</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SurveyMonkey Audience</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Panel</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More than 200 options [33]</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Machine learning replaces poor responses [33]</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Not stated [34]</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Syria not listed [1]</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Prolific</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Panel</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More than 300 filters</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Identity checks, fast-submission flags, quality scores [35]</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Not applicable: surveys are hosted elsewhere</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Syria not listed [2]</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Pollfish</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Panel</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Demographic and geographic</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Automated fraud detection; discards up to 30% [36]</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Not stated in the results dashboard [37]</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Arabic not supported [3]</w:t>
            </w:r>
          </w:p>
        </w:tc>
      </w:tr>
      <w:tr>
        <w:trPr>
          <w:cantSplit/>
        </w:trPr>
        <w:tc>
          <w:tcPr>
            <w:tcW w:type="dxa" w:w="159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b/>
                <w:bCs/>
                <w:sz w:val="22"/>
                <w:szCs w:val="22"/>
              </w:rPr>
              <w:t xml:space="preserve">Smart Survey (planned)</w:t>
            </w:r>
          </w:p>
        </w:tc>
        <w:tc>
          <w:tcPr>
            <w:tcW w:type="dxa" w:w="9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Platform</w:t>
            </w:r>
          </w:p>
        </w:tc>
        <w:tc>
          <w:tcPr>
            <w:tcW w:type="dxa" w:w="1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Extended profile; Syrian governorates</w:t>
            </w:r>
          </w:p>
        </w:tc>
        <w:tc>
          <w:tcPr>
            <w:tcW w:type="dxa" w:w="20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Layered: attention, speeding, straight-lining, duplicate device, quality score</w:t>
            </w:r>
          </w:p>
        </w:tc>
        <w:tc>
          <w:tcPr>
            <w:tcW w:type="dxa" w:w="19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Built in for each answer; MSA and English</w:t>
            </w:r>
          </w:p>
        </w:tc>
        <w:tc>
          <w:tcPr>
            <w:tcW w:type="dxa" w:w="14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lineRule="auto"/>
            </w:pPr>
            <w:r>
              <w:rPr>
                <w:rFonts w:ascii="Times New Roman" w:cs="Times New Roman" w:eastAsia="Times New Roman" w:hAnsi="Times New Roman"/>
                <w:sz w:val="22"/>
                <w:szCs w:val="22"/>
              </w:rPr>
              <w:t xml:space="preserve">In development until January 2027; respondent pool still small</w:t>
            </w:r>
          </w:p>
        </w:tc>
      </w:tr>
    </w:tbl>
    <w:p>
      <w:pPr>
        <w:spacing w:after="60"/>
      </w:pPr>
    </w:p>
    <w:p>
      <w:pPr>
        <w:pStyle w:val="Heading3"/>
      </w:pPr>
      <w:r>
        <w:rPr>
          <w:rFonts w:ascii="Times New Roman" w:cs="Times New Roman" w:eastAsia="Times New Roman" w:hAnsi="Times New Roman"/>
        </w:rPr>
        <w:t xml:space="preserve">3.4 Research Gap and Proposed Innovation</w:t>
      </w:r>
    </w:p>
    <w:p>
      <w:pPr>
        <w:spacing w:after="120" w:line="276" w:lineRule="auto"/>
        <w:jc w:val="both"/>
      </w:pPr>
      <w:r>
        <w:rPr>
          <w:rFonts w:ascii="Times New Roman" w:cs="Times New Roman" w:eastAsia="Times New Roman" w:hAnsi="Times New Roman"/>
          <w:b/>
          <w:bCs/>
        </w:rPr>
        <w:t xml:space="preserve">Gap.</w:t>
      </w:r>
      <w:r>
        <w:rPr>
          <w:rFonts w:ascii="Times New Roman" w:cs="Times New Roman" w:eastAsia="Times New Roman" w:hAnsi="Times New Roman"/>
        </w:rPr>
        <w:t xml:space="preserve"> None of the six platforms combines profile-based targeting that reaches Syria, layered quality checks, and built-in sentiment analysis of each open answer in Arabic. The builders lack targeting and rely on single checks; the panels target and check quality but do not list Syria or Arabic; and sentiment features are paid, mostly English, or absent.</w:t>
      </w:r>
    </w:p>
    <w:p>
      <w:pPr>
        <w:spacing w:after="120" w:line="276" w:lineRule="auto"/>
        <w:jc w:val="both"/>
      </w:pPr>
      <w:r>
        <w:rPr>
          <w:rFonts w:ascii="Times New Roman" w:cs="Times New Roman" w:eastAsia="Times New Roman" w:hAnsi="Times New Roman"/>
          <w:b/>
          <w:bCs/>
        </w:rPr>
        <w:t xml:space="preserve">Proposed innovation.</w:t>
      </w:r>
      <w:r>
        <w:rPr>
          <w:rFonts w:ascii="Times New Roman" w:cs="Times New Roman" w:eastAsia="Times New Roman" w:hAnsi="Times New Roman"/>
        </w:rPr>
        <w:t xml:space="preserve"> Smart Survey brings the panels' core idea, stored respondent profiles matched to surveys, to a population the panels do not serve, and adds the layered quality signals that the literature recommends. Each response is identified by a logged-in account, carries several flags and a quality score, and is kept for the analyst to include or exclude. Each open answer receives a sentiment label from a model selected by measurement.</w:t>
      </w:r>
    </w:p>
    <w:p>
      <w:pPr>
        <w:spacing w:after="120" w:line="276" w:lineRule="auto"/>
        <w:jc w:val="both"/>
      </w:pPr>
      <w:r>
        <w:rPr>
          <w:rFonts w:ascii="Times New Roman" w:cs="Times New Roman" w:eastAsia="Times New Roman" w:hAnsi="Times New Roman"/>
          <w:b/>
          <w:bCs/>
        </w:rPr>
        <w:t xml:space="preserve">Limits stated in advance.</w:t>
      </w:r>
      <w:r>
        <w:rPr>
          <w:rFonts w:ascii="Times New Roman" w:cs="Times New Roman" w:eastAsia="Times New Roman" w:hAnsi="Times New Roman"/>
        </w:rPr>
        <w:t xml:space="preserve"> Three limits follow from the literature and are reported, not hidden. First, targeting controls who answers, but a targeted sample is not a representative sample, so results are described as targeted. Second, published Arabic sentiment results come from tweets and reviews, and the project's evaluation set is built from public labelled data, so accuracy on real Syrian survey answers remains an open question; dialect answers are classified, but accuracy on dialect is not measured in this phase. Third, AI-assisted and automated respondents can pass attention checks [18] and make answers more positive [19], so the quality flags reduce this risk but cannot remove it.</w:t>
      </w:r>
    </w:p>
    <w:p>
      <w:pPr>
        <w:pStyle w:val="Heading3"/>
      </w:pPr>
      <w:r>
        <w:rPr>
          <w:rFonts w:ascii="Times New Roman" w:cs="Times New Roman" w:eastAsia="Times New Roman" w:hAnsi="Times New Roman"/>
        </w:rPr>
        <w:t xml:space="preserve">3.5 Theoretical Framework</w:t>
      </w:r>
    </w:p>
    <w:p>
      <w:pPr>
        <w:spacing w:after="120" w:line="276" w:lineRule="auto"/>
        <w:jc w:val="both"/>
      </w:pPr>
      <w:r>
        <w:rPr>
          <w:rFonts w:ascii="Times New Roman" w:cs="Times New Roman" w:eastAsia="Times New Roman" w:hAnsi="Times New Roman"/>
          <w:b/>
          <w:bCs/>
        </w:rPr>
        <w:t xml:space="preserve">Architecture.</w:t>
      </w:r>
      <w:r>
        <w:rPr>
          <w:rFonts w:ascii="Times New Roman" w:cs="Times New Roman" w:eastAsia="Times New Roman" w:hAnsi="Times New Roman"/>
        </w:rPr>
        <w:t xml:space="preserve"> The system follows a three-tier client-server style with a layered application tier [10]. Inside the Django server, the layers follow Fowler's presentation, domain and data source layers, called here the Presentation, Business and Data Source layers [14]. Four patterns from the same catalogue implement them: the </w:t>
      </w: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defines the application's operations; </w:t>
      </w:r>
      <w:r>
        <w:rPr>
          <w:rFonts w:ascii="Times New Roman" w:cs="Times New Roman" w:eastAsia="Times New Roman" w:hAnsi="Times New Roman"/>
          <w:b/>
          <w:bCs/>
        </w:rPr>
        <w:t xml:space="preserve">Repositories</w:t>
      </w:r>
      <w:r>
        <w:rPr>
          <w:rFonts w:ascii="Times New Roman" w:cs="Times New Roman" w:eastAsia="Times New Roman" w:hAnsi="Times New Roman"/>
        </w:rPr>
        <w:t xml:space="preserve"> give collection-like access to stored objects; Django models are </w:t>
      </w:r>
      <w:r>
        <w:rPr>
          <w:rFonts w:ascii="Times New Roman" w:cs="Times New Roman" w:eastAsia="Times New Roman" w:hAnsi="Times New Roman"/>
          <w:b/>
          <w:bCs/>
        </w:rPr>
        <w:t xml:space="preserve">Active Record</w:t>
      </w:r>
      <w:r>
        <w:rPr>
          <w:rFonts w:ascii="Times New Roman" w:cs="Times New Roman" w:eastAsia="Times New Roman" w:hAnsi="Times New Roman"/>
        </w:rPr>
        <w:t xml:space="preserve"> objects; and a </w:t>
      </w:r>
      <w:r>
        <w:rPr>
          <w:rFonts w:ascii="Times New Roman" w:cs="Times New Roman" w:eastAsia="Times New Roman" w:hAnsi="Times New Roman"/>
          <w:b/>
          <w:bCs/>
        </w:rPr>
        <w:t xml:space="preserve">Gateway</w:t>
      </w:r>
      <w:r>
        <w:rPr>
          <w:rFonts w:ascii="Times New Roman" w:cs="Times New Roman" w:eastAsia="Times New Roman" w:hAnsi="Times New Roman"/>
        </w:rPr>
        <w:t xml:space="preserve"> class wraps access to the external sentiment service. The REST API follows the constraints described by Fielding, notably stateless requests and resources identified by URLs [38], and authenticates requests with JSON Web Tokens [25].</w:t>
      </w:r>
    </w:p>
    <w:p>
      <w:pPr>
        <w:spacing w:after="120" w:line="276" w:lineRule="auto"/>
        <w:jc w:val="both"/>
      </w:pPr>
      <w:r>
        <w:rPr>
          <w:rFonts w:ascii="Times New Roman" w:cs="Times New Roman" w:eastAsia="Times New Roman" w:hAnsi="Times New Roman"/>
          <w:b/>
          <w:bCs/>
        </w:rPr>
        <w:t xml:space="preserve">Sentiment classification.</w:t>
      </w:r>
      <w:r>
        <w:rPr>
          <w:rFonts w:ascii="Times New Roman" w:cs="Times New Roman" w:eastAsia="Times New Roman" w:hAnsi="Times New Roman"/>
        </w:rPr>
        <w:t xml:space="preserve"> The candidate models are transformer encoders pretrained on large text corpora and then fine-tuned by their authors for sentiment classification [29]; the project uses them as they are, without further training. Models are compared with the F1 score of each class c, F1</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 2 × P</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 R</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 (P</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 R</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where P</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is the precision and R</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the recall of class c, and with the macro-F1, the unweighted mean of F1</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over the positive, neutral and negative classes. The macro average is used because survey answers contain many neutral texts, and a model that ignores a class must be penalised even if its overall accuracy looks good. A confusion matrix per language shows which classes a model confuses.</w:t>
      </w:r>
    </w:p>
    <w:p>
      <w:pPr>
        <w:spacing w:after="120" w:line="276" w:lineRule="auto"/>
        <w:jc w:val="both"/>
      </w:pPr>
      <w:r>
        <w:rPr>
          <w:rFonts w:ascii="Times New Roman" w:cs="Times New Roman" w:eastAsia="Times New Roman" w:hAnsi="Times New Roman"/>
          <w:b/>
          <w:bCs/>
        </w:rPr>
        <w:t xml:space="preserve">Response-quality signals.</w:t>
      </w:r>
      <w:r>
        <w:rPr>
          <w:rFonts w:ascii="Times New Roman" w:cs="Times New Roman" w:eastAsia="Times New Roman" w:hAnsi="Times New Roman"/>
        </w:rPr>
        <w:t xml:space="preserve"> Instructed-response items detect respondents who do not read the questions; several items are better than one, and the analysis should report results by attention level instead of silently dropping respondents, because passing correlates with respondent traits [39]. Speeding is measured against the median completion time: flagging respondents 30%, 40% or 50% faster than the median flags about 20%, 14% and 9% of respondents, and removing them changes regression results more than simple distributions [40]. Network and device checks catch repeated or foreign participation; screening IP addresses at the start of a survey blocked all foreign and virtual-server users in one study [41]. These results justify flags rather than automatic deletion.</w:t>
      </w:r>
    </w:p>
    <w:p>
      <w:pPr>
        <w:spacing w:after="120" w:line="276" w:lineRule="auto"/>
        <w:jc w:val="both"/>
      </w:pPr>
      <w:r>
        <w:rPr>
          <w:rFonts w:ascii="Times New Roman" w:cs="Times New Roman" w:eastAsia="Times New Roman" w:hAnsi="Times New Roman"/>
          <w:b/>
          <w:bCs/>
        </w:rPr>
        <w:t xml:space="preserve">Privacy and measurement design.</w:t>
      </w:r>
      <w:r>
        <w:rPr>
          <w:rFonts w:ascii="Times New Roman" w:cs="Times New Roman" w:eastAsia="Times New Roman" w:hAnsi="Times New Roman"/>
        </w:rPr>
        <w:t xml:space="preserve"> Pseudonymous analytics hide any group smaller than five respondents, an application of k-anonymity, in which each released record is indistinguishable from at least k−1 others [42]. The order of answer options affects which option is chosen, so the order of questions and options is randomized per respondent where the provider enables it [43]. Requirements are prioritised with MoSCoW [44].</w:t>
      </w:r>
    </w:p>
    <w:p>
      <w:pPr>
        <w:pStyle w:val="Heading3"/>
      </w:pPr>
      <w:r>
        <w:rPr>
          <w:rFonts w:ascii="Times New Roman" w:cs="Times New Roman" w:eastAsia="Times New Roman" w:hAnsi="Times New Roman"/>
        </w:rPr>
        <w:t xml:space="preserve">3.6 Modern and Future Trends</w:t>
      </w:r>
    </w:p>
    <w:p>
      <w:pPr>
        <w:spacing w:after="120" w:line="276" w:lineRule="auto"/>
        <w:jc w:val="both"/>
      </w:pPr>
      <w:r>
        <w:rPr>
          <w:rFonts w:ascii="Times New Roman" w:cs="Times New Roman" w:eastAsia="Times New Roman" w:hAnsi="Times New Roman"/>
          <w:b/>
          <w:bCs/>
        </w:rPr>
        <w:t xml:space="preserve">Language models as coders of open answers.</w:t>
      </w:r>
      <w:r>
        <w:rPr>
          <w:rFonts w:ascii="Times New Roman" w:cs="Times New Roman" w:eastAsia="Times New Roman" w:hAnsi="Times New Roman"/>
        </w:rPr>
        <w:t xml:space="preserve"> Large language models are starting to replace manual coding of open-text survey answers. Mellon et al. found that the best model they tested assigned 50 issue categories with 93.9% accuracy, close to a second human coder at 94.7%, and better than supervised models trained on 1,000 labelled cases [45]. For sentiment, a broad evaluation found that large language models do well on simple sentiment tasks and in few-shot settings, which suits languages and domains with little labelled data, but lag on complex sentiment tasks [46]. For Arabic, smaller fine-tuned models still lead on most tasks [22], so the balance between a fine-tuned model and a general model has to be measured for each use.</w:t>
      </w:r>
    </w:p>
    <w:p>
      <w:pPr>
        <w:spacing w:after="120" w:line="276" w:lineRule="auto"/>
        <w:jc w:val="both"/>
      </w:pPr>
      <w:r>
        <w:rPr>
          <w:rFonts w:ascii="Times New Roman" w:cs="Times New Roman" w:eastAsia="Times New Roman" w:hAnsi="Times New Roman"/>
          <w:b/>
          <w:bCs/>
        </w:rPr>
        <w:t xml:space="preserve">Synthetic and AI-assisted respondents.</w:t>
      </w:r>
      <w:r>
        <w:rPr>
          <w:rFonts w:ascii="Times New Roman" w:cs="Times New Roman" w:eastAsia="Times New Roman" w:hAnsi="Times New Roman"/>
        </w:rPr>
        <w:t xml:space="preserve"> The same models now threaten survey data [18], [19]. Future platforms will rely more on identity-bound accounts, behavioural signals collected during answering and the detection of machine-written text. In Smart Survey, the respondent trust levels planned for Graduation Project 2 (FR-24) are the natural place for such controls.</w:t>
      </w:r>
    </w:p>
    <w:p>
      <w:pPr>
        <w:spacing w:after="120" w:line="276" w:lineRule="auto"/>
        <w:jc w:val="both"/>
      </w:pPr>
      <w:r>
        <w:rPr>
          <w:rFonts w:ascii="Times New Roman" w:cs="Times New Roman" w:eastAsia="Times New Roman" w:hAnsi="Times New Roman"/>
          <w:b/>
          <w:bCs/>
        </w:rPr>
        <w:t xml:space="preserve">Mobile-first data collection.</w:t>
      </w:r>
      <w:r>
        <w:rPr>
          <w:rFonts w:ascii="Times New Roman" w:cs="Times New Roman" w:eastAsia="Times New Roman" w:hAnsi="Times New Roman"/>
        </w:rPr>
        <w:t xml:space="preserve"> Respondents increasingly answer on phones, which moves survey collection from web forms to native or cross-platform apps with stored profiles, drafts and notifications; Graduation Project 1 builds this base with the Flutter app, and push notifications follow in Graduation Project 2.</w:t>
      </w:r>
    </w:p>
    <w:p>
      <w:pPr>
        <w:pStyle w:val="Heading1"/>
        <w:pageBreakBefore/>
      </w:pPr>
      <w:r>
        <w:rPr>
          <w:rFonts w:ascii="Times New Roman" w:cs="Times New Roman" w:eastAsia="Times New Roman" w:hAnsi="Times New Roman"/>
        </w:rPr>
        <w:t xml:space="preserve">References (Chapters 1–3)</w:t>
      </w:r>
    </w:p>
    <w:p>
      <w:pPr>
        <w:tabs>
          <w:tab w:val="left" w:pos="567"/>
        </w:tabs>
        <w:spacing w:after="100" w:line="260" w:lineRule="auto"/>
        <w:ind w:left="567" w:hanging="567"/>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SurveyMonkey, "SurveyMonkey Audience supported countries," help.surveymonkey.com. [Online]. Available: https://help.surveymonkey.com/en/surveymonkey/solutions/audience-supported-countries/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Prolific, "Who are the participants on Prolific?," researcher-help.prolific.com. [Online]. Available: https://researcher-help.prolific.com/en/articles/445224-who-are-the-participants-on-prolific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Pollfish, "Creating a survey in multiple languages," pollfish.com. [Online]. Available: https://www.pollfish.com/resources/blog/pollfish-school/creating-a-survey-in-multiple-languages/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R. Pozzar, M. J. Hammer, M. Underhill-Blazey, A. A. Wright, J. A. Tulsky, F. Hong, D. A. Gundersen, and D. L. Berry, "Threats of bots and other bad actors to data quality following research participant recruitment through social media," J. Med. Internet Res., vol. 22, no. 10, Art. no. e23021, 2020, doi: 10.2196/23021.</w:t>
      </w:r>
    </w:p>
    <w:p>
      <w:pPr>
        <w:tabs>
          <w:tab w:val="left" w:pos="567"/>
        </w:tabs>
        <w:spacing w:after="100" w:line="260" w:lineRule="auto"/>
        <w:ind w:left="567" w:hanging="567"/>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Typeform, "Smart Insights: qualitative and quantitative analysis," help.typeform.com (accessed Oct. 27,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SurveyMonkey, "Sentiment analysis," help.surveymonkey.com. [Online]. Available: https://help.surveymonkey.com/en/analyze/sentiment-analysis (accessed Oct. 27,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Google, "Summarize &amp; analyze responses with Gemini in Google Forms," support.google.com. [Online]. Available: https://support.google.com/docs/answer/16231981 (accessed Oct. 27,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K. Schwaber and J. Sutherland, The Scrum Guide, Nov. 2020. [Online]. Available: https://scrumguides.org</w:t>
      </w:r>
    </w:p>
    <w:p>
      <w:pPr>
        <w:tabs>
          <w:tab w:val="left" w:pos="567"/>
        </w:tabs>
        <w:spacing w:after="100" w:line="260" w:lineRule="auto"/>
        <w:ind w:left="567" w:hanging="567"/>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S. W. Ambler, "Agile Model Driven Development (AMDD)," agilemodeling.com (accessed Oct. 27,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I. Sommerville, Software Engineering, 10th ed. Boston, MA, USA: Pearson, 2016.</w:t>
      </w:r>
    </w:p>
    <w:p>
      <w:pPr>
        <w:tabs>
          <w:tab w:val="left" w:pos="567"/>
        </w:tabs>
        <w:spacing w:after="100" w:line="260" w:lineRule="auto"/>
        <w:ind w:left="567" w:hanging="567"/>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OWASP Foundation, "OWASP API Security Top 10 – 2023," owasp.org (accessed Oct. 28,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Django Software Foundation, "Django security releases issued: 6.0.4, 5.2.13, and 4.2.30," djangoproject.com, Apr. 7, 2026. [Online]. Available: https://www.djangoproject.com/weblog/2026/apr/07/security-releases/ (accessed Oct. 28,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ISO/IEC 25010:2023, Systems and software engineering — Systems and software Quality Requirements and Evaluation (SQuaRE) — Product quality model. Geneva, Switzerland: ISO, 2023.</w:t>
      </w:r>
    </w:p>
    <w:p>
      <w:pPr>
        <w:tabs>
          <w:tab w:val="left" w:pos="567"/>
        </w:tabs>
        <w:spacing w:after="100" w:line="260" w:lineRule="auto"/>
        <w:ind w:left="567" w:hanging="567"/>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M. Fowler, Patterns of Enterprise Application Architecture. Boston, MA, USA: Addison-Wesley, 2002.</w:t>
      </w:r>
    </w:p>
    <w:p>
      <w:pPr>
        <w:tabs>
          <w:tab w:val="left" w:pos="567"/>
        </w:tabs>
        <w:spacing w:after="100" w:line="260" w:lineRule="auto"/>
        <w:ind w:left="567" w:hanging="567"/>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E. Peer, D. Rothschild, A. Gordon, Z. Evernden, and E. Damer, "Data quality of platforms and panels for online behavioral research," Behav. Res. Methods, vol. 54, no. 4, pp. 1643–1662, 2022, doi: 10.3758/s13428-021-01694-3.</w:t>
      </w:r>
    </w:p>
    <w:p>
      <w:pPr>
        <w:tabs>
          <w:tab w:val="left" w:pos="567"/>
        </w:tabs>
        <w:spacing w:after="100" w:line="260" w:lineRule="auto"/>
        <w:ind w:left="567" w:hanging="567"/>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B. D. Douglas, P. J. Ewell, and M. Brauer, "Data quality in online human-subjects research: Comparisons between MTurk, Prolific, CloudResearch, Qualtrics, and SONA," PLOS ONE, vol. 18, no. 3, Art. no. e0279720, 2023, doi: 10.1371/journal.pone.0279720.</w:t>
      </w:r>
    </w:p>
    <w:p>
      <w:pPr>
        <w:tabs>
          <w:tab w:val="left" w:pos="567"/>
        </w:tabs>
        <w:spacing w:after="100" w:line="260" w:lineRule="auto"/>
        <w:ind w:left="567" w:hanging="567"/>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M. K. Ward and A. W. Meade, "Dealing with careless responding in survey data: Prevention, identification, and recommended best practices," Annu. Rev. Psychol., vol. 74, pp. 577–596, 2023, doi: 10.1146/annurev-psych-040422-045007.</w:t>
      </w:r>
    </w:p>
    <w:p>
      <w:pPr>
        <w:tabs>
          <w:tab w:val="left" w:pos="567"/>
        </w:tabs>
        <w:spacing w:after="100" w:line="260" w:lineRule="auto"/>
        <w:ind w:left="567" w:hanging="567"/>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S. Westwood, "The potential existential threat of large language models to online survey research," Proc. Natl. Acad. Sci. U.S.A., 2025, doi: 10.1073/pnas.2518075122.</w:t>
      </w:r>
    </w:p>
    <w:p>
      <w:pPr>
        <w:tabs>
          <w:tab w:val="left" w:pos="567"/>
        </w:tabs>
        <w:spacing w:after="100" w:line="260" w:lineRule="auto"/>
        <w:ind w:left="567" w:hanging="567"/>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S. Zhang, J. Xu, and A. J. Alvero, "Generative AI meets open-ended survey responses: Research participant use of AI and homogenization," Sociol. Methods Res., vol. 54, no. 3, pp. 1197–1242, 2025, doi: 10.1177/00491241251327130.</w:t>
      </w:r>
    </w:p>
    <w:p>
      <w:pPr>
        <w:tabs>
          <w:tab w:val="left" w:pos="567"/>
        </w:tabs>
        <w:spacing w:after="100" w:line="260" w:lineRule="auto"/>
        <w:ind w:left="567" w:hanging="567"/>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I. Abu Farha and W. Magdy, "Benchmarking transformer-based language models for Arabic sentiment and sarcasm detection," in Proc. 6th Arabic Natural Language Processing Workshop (WANLP), 2021, pp. 21–31.</w:t>
      </w:r>
    </w:p>
    <w:p>
      <w:pPr>
        <w:tabs>
          <w:tab w:val="left" w:pos="567"/>
        </w:tabs>
        <w:spacing w:after="100" w:line="260" w:lineRule="auto"/>
        <w:ind w:left="567" w:hanging="567"/>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A. Al-Thubaity, S. Alkhereyf, H. Murayshid, N. Alshalawi, M. Omirah, R. Alateeq, R. Almutairi, R. Alsuwailem, M. Alhassoun, and I. Alkhanen, "Evaluating ChatGPT and Bard AI on Arabic sentiment analysis," in Proc. ArabicNLP 2023, Singapore, 2023, pp. 335–349, doi: 10.18653/v1/2023.arabicnlp-1.27.</w:t>
      </w:r>
    </w:p>
    <w:p>
      <w:pPr>
        <w:tabs>
          <w:tab w:val="left" w:pos="567"/>
        </w:tabs>
        <w:spacing w:after="100" w:line="260" w:lineRule="auto"/>
        <w:ind w:left="567" w:hanging="567"/>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M. T. I. Khondaker, A. Waheed, E. M. B. Nagoudi, and M. Abdul-Mageed, "GPTAraEval: A comprehensive evaluation of ChatGPT on Arabic NLP," in Proc. 2023 Conf. Empirical Methods in Natural Language Processing (EMNLP), Singapore, 2023, pp. 220–247, doi: 10.18653/v1/2023.emnlp-main.16.</w:t>
      </w:r>
    </w:p>
    <w:p>
      <w:pPr>
        <w:tabs>
          <w:tab w:val="left" w:pos="567"/>
        </w:tabs>
        <w:spacing w:after="100" w:line="260" w:lineRule="auto"/>
        <w:ind w:left="567" w:hanging="567"/>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J. A. Lossio-Ventura, R. Weger, A. Y. Lee, E. P. Guinee, J. Chung, L. Atlas, E. Linos, and F. Pereira, "A comparison of ChatGPT and fine-tuned open pre-trained transformers (OPT) against widely used sentiment analysis tools: Sentiment analysis of COVID-19 survey data," JMIR Ment. Health, vol. 11, Art. no. e50150, 2024, doi: 10.2196/50150.</w:t>
      </w:r>
    </w:p>
    <w:p>
      <w:pPr>
        <w:tabs>
          <w:tab w:val="left" w:pos="567"/>
        </w:tabs>
        <w:spacing w:after="100" w:line="260" w:lineRule="auto"/>
        <w:ind w:left="567" w:hanging="567"/>
      </w:pPr>
      <w:r>
        <w:rPr>
          <w:rFonts w:ascii="Times New Roman" w:cs="Times New Roman" w:eastAsia="Times New Roman" w:hAnsi="Times New Roman"/>
          <w:sz w:val="22"/>
          <w:szCs w:val="22"/>
        </w:rPr>
        <w:t xml:space="preserve">[24]	</w:t>
      </w:r>
      <w:r>
        <w:rPr>
          <w:rFonts w:ascii="Times New Roman" w:cs="Times New Roman" w:eastAsia="Times New Roman" w:hAnsi="Times New Roman"/>
          <w:sz w:val="22"/>
          <w:szCs w:val="22"/>
        </w:rPr>
        <w:t xml:space="preserve">Django Software Foundation, "FAQ: General," docs.djangoproject.com (accessed Oct. 24,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[25]	</w:t>
      </w:r>
      <w:r>
        <w:rPr>
          <w:rFonts w:ascii="Times New Roman" w:cs="Times New Roman" w:eastAsia="Times New Roman" w:hAnsi="Times New Roman"/>
          <w:sz w:val="22"/>
          <w:szCs w:val="22"/>
        </w:rPr>
        <w:t xml:space="preserve">M. Jones, J. Bradley, and N. Sakimura, "JSON Web Token (JWT)," RFC 7519, IETF, May 2015.</w:t>
      </w:r>
    </w:p>
    <w:p>
      <w:pPr>
        <w:tabs>
          <w:tab w:val="left" w:pos="567"/>
        </w:tabs>
        <w:spacing w:after="100" w:line="260" w:lineRule="auto"/>
        <w:ind w:left="567" w:hanging="567"/>
      </w:pPr>
      <w:r>
        <w:rPr>
          <w:rFonts w:ascii="Times New Roman" w:cs="Times New Roman" w:eastAsia="Times New Roman" w:hAnsi="Times New Roman"/>
          <w:sz w:val="22"/>
          <w:szCs w:val="22"/>
        </w:rPr>
        <w:t xml:space="preserve">[26]	</w:t>
      </w:r>
      <w:r>
        <w:rPr>
          <w:rFonts w:ascii="Times New Roman" w:cs="Times New Roman" w:eastAsia="Times New Roman" w:hAnsi="Times New Roman"/>
          <w:sz w:val="22"/>
          <w:szCs w:val="22"/>
        </w:rPr>
        <w:t xml:space="preserve">W. Antoun, F. Baly, and H. Hajj, "AraBERT: Transformer-based model for Arabic language understanding," in Proc. 4th Workshop on Open-Source Arabic Corpora and Processing Tools (OSACT4), Marseille, France, 2020.</w:t>
      </w:r>
    </w:p>
    <w:p>
      <w:pPr>
        <w:tabs>
          <w:tab w:val="left" w:pos="567"/>
        </w:tabs>
        <w:spacing w:after="100" w:line="260" w:lineRule="auto"/>
        <w:ind w:left="567" w:hanging="567"/>
      </w:pPr>
      <w:r>
        <w:rPr>
          <w:rFonts w:ascii="Times New Roman" w:cs="Times New Roman" w:eastAsia="Times New Roman" w:hAnsi="Times New Roman"/>
          <w:sz w:val="22"/>
          <w:szCs w:val="22"/>
        </w:rPr>
        <w:t xml:space="preserve">[27]	</w:t>
      </w:r>
      <w:r>
        <w:rPr>
          <w:rFonts w:ascii="Times New Roman" w:cs="Times New Roman" w:eastAsia="Times New Roman" w:hAnsi="Times New Roman"/>
          <w:sz w:val="22"/>
          <w:szCs w:val="22"/>
        </w:rPr>
        <w:t xml:space="preserve">G. Inoue, B. Alhafni, N. Baimukan, H. Bouamor, and N. Habash, "The interplay of variant, size, and task type in Arabic pre-trained language models," in Proc. 6th Arabic Natural Language Processing Workshop (WANLP), 2021.</w:t>
      </w:r>
    </w:p>
    <w:p>
      <w:pPr>
        <w:tabs>
          <w:tab w:val="left" w:pos="567"/>
        </w:tabs>
        <w:spacing w:after="100" w:line="260" w:lineRule="auto"/>
        <w:ind w:left="567" w:hanging="567"/>
      </w:pPr>
      <w:r>
        <w:rPr>
          <w:rFonts w:ascii="Times New Roman" w:cs="Times New Roman" w:eastAsia="Times New Roman" w:hAnsi="Times New Roman"/>
          <w:sz w:val="22"/>
          <w:szCs w:val="22"/>
        </w:rPr>
        <w:t xml:space="preserve">[28]	</w:t>
      </w:r>
      <w:r>
        <w:rPr>
          <w:rFonts w:ascii="Times New Roman" w:cs="Times New Roman" w:eastAsia="Times New Roman" w:hAnsi="Times New Roman"/>
          <w:sz w:val="22"/>
          <w:szCs w:val="22"/>
        </w:rPr>
        <w:t xml:space="preserve">M. Abdul-Mageed, A. Elmadany, and E. M. B. Nagoudi, "ARBERT &amp; MARBERT: Deep bidirectional transformers for Arabic," in Proc. ACL-IJCNLP, 2021, doi: 10.18653/v1/2021.acl-long.551.</w:t>
      </w:r>
    </w:p>
    <w:p>
      <w:pPr>
        <w:tabs>
          <w:tab w:val="left" w:pos="567"/>
        </w:tabs>
        <w:spacing w:after="100" w:line="260" w:lineRule="auto"/>
        <w:ind w:left="567" w:hanging="567"/>
      </w:pPr>
      <w:r>
        <w:rPr>
          <w:rFonts w:ascii="Times New Roman" w:cs="Times New Roman" w:eastAsia="Times New Roman" w:hAnsi="Times New Roman"/>
          <w:sz w:val="22"/>
          <w:szCs w:val="22"/>
        </w:rPr>
        <w:t xml:space="preserve">[29]	</w:t>
      </w:r>
      <w:r>
        <w:rPr>
          <w:rFonts w:ascii="Times New Roman" w:cs="Times New Roman" w:eastAsia="Times New Roman" w:hAnsi="Times New Roman"/>
          <w:sz w:val="22"/>
          <w:szCs w:val="22"/>
        </w:rPr>
        <w:t xml:space="preserve">J. Devlin, M.-W. Chang, K. Lee, and K. Toutanova, "BERT: Pre-training of deep bidirectional transformers for language understanding," in Proc. NAACL-HLT, Minneapolis, MN, USA, 2019, pp. 4171–4186.</w:t>
      </w:r>
    </w:p>
    <w:p>
      <w:pPr>
        <w:tabs>
          <w:tab w:val="left" w:pos="567"/>
        </w:tabs>
        <w:spacing w:after="100" w:line="260" w:lineRule="auto"/>
        <w:ind w:left="567" w:hanging="567"/>
      </w:pPr>
      <w:r>
        <w:rPr>
          <w:rFonts w:ascii="Times New Roman" w:cs="Times New Roman" w:eastAsia="Times New Roman" w:hAnsi="Times New Roman"/>
          <w:sz w:val="22"/>
          <w:szCs w:val="22"/>
        </w:rPr>
        <w:t xml:space="preserve">[30]	</w:t>
      </w:r>
      <w:r>
        <w:rPr>
          <w:rFonts w:ascii="Times New Roman" w:cs="Times New Roman" w:eastAsia="Times New Roman" w:hAnsi="Times New Roman"/>
          <w:sz w:val="22"/>
          <w:szCs w:val="22"/>
        </w:rPr>
        <w:t xml:space="preserve">Google, "Publish &amp; share your form with responders," support.google.com. [Online]. Available: https://support.google.com/docs/answer/2839588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[31]	</w:t>
      </w:r>
      <w:r>
        <w:rPr>
          <w:rFonts w:ascii="Times New Roman" w:cs="Times New Roman" w:eastAsia="Times New Roman" w:hAnsi="Times New Roman"/>
          <w:sz w:val="22"/>
          <w:szCs w:val="22"/>
        </w:rPr>
        <w:t xml:space="preserve">Typeform, "Prevent duplicate responses," help.typeform.com. [Online]. Available: https://help.typeform.com/hc/en-us/articles/27917825492244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[32]	</w:t>
      </w:r>
      <w:r>
        <w:rPr>
          <w:rFonts w:ascii="Times New Roman" w:cs="Times New Roman" w:eastAsia="Times New Roman" w:hAnsi="Times New Roman"/>
          <w:sz w:val="22"/>
          <w:szCs w:val="22"/>
        </w:rPr>
        <w:t xml:space="preserve">SurveyMonkey, "Collector options," help.surveymonkey.com. [Online]. Available: https://help.surveymonkey.com/en/surveymonkey/send/collector-options/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[33]	</w:t>
      </w:r>
      <w:r>
        <w:rPr>
          <w:rFonts w:ascii="Times New Roman" w:cs="Times New Roman" w:eastAsia="Times New Roman" w:hAnsi="Times New Roman"/>
          <w:sz w:val="22"/>
          <w:szCs w:val="22"/>
        </w:rPr>
        <w:t xml:space="preserve">SurveyMonkey, "SurveyMonkey Audience panel," surveymonkey.com. [Online]. Available: https://www.surveymonkey.com/market-research/solutions/audience-panel/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[34]	</w:t>
      </w:r>
      <w:r>
        <w:rPr>
          <w:rFonts w:ascii="Times New Roman" w:cs="Times New Roman" w:eastAsia="Times New Roman" w:hAnsi="Times New Roman"/>
          <w:sz w:val="22"/>
          <w:szCs w:val="22"/>
        </w:rPr>
        <w:t xml:space="preserve">SurveyMonkey, "SurveyMonkey Audience," help.surveymonkey.com (accessed Oct. 27,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[35]	</w:t>
      </w:r>
      <w:r>
        <w:rPr>
          <w:rFonts w:ascii="Times New Roman" w:cs="Times New Roman" w:eastAsia="Times New Roman" w:hAnsi="Times New Roman"/>
          <w:sz w:val="22"/>
          <w:szCs w:val="22"/>
        </w:rPr>
        <w:t xml:space="preserve">Prolific, "Methodological justification pack: How Prolific protects data quality," researcher-help.prolific.com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[36]	</w:t>
      </w:r>
      <w:r>
        <w:rPr>
          <w:rFonts w:ascii="Times New Roman" w:cs="Times New Roman" w:eastAsia="Times New Roman" w:hAnsi="Times New Roman"/>
          <w:sz w:val="22"/>
          <w:szCs w:val="22"/>
        </w:rPr>
        <w:t xml:space="preserve">Pollfish, "How the Pollfish methodology works," pollfish.com. [Online]. Available: https://www.pollfish.com/resources/blog/pollfish-school/how-the-pollfish-methodology-works/ (accessed Oct. 23,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[37]	</w:t>
      </w:r>
      <w:r>
        <w:rPr>
          <w:rFonts w:ascii="Times New Roman" w:cs="Times New Roman" w:eastAsia="Times New Roman" w:hAnsi="Times New Roman"/>
          <w:sz w:val="22"/>
          <w:szCs w:val="22"/>
        </w:rPr>
        <w:t xml:space="preserve">Pollfish, "The Pollfish survey results dashboard," pollfish.com (accessed Oct. 27,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[38]	</w:t>
      </w:r>
      <w:r>
        <w:rPr>
          <w:rFonts w:ascii="Times New Roman" w:cs="Times New Roman" w:eastAsia="Times New Roman" w:hAnsi="Times New Roman"/>
          <w:sz w:val="22"/>
          <w:szCs w:val="22"/>
        </w:rPr>
        <w:t xml:space="preserve">R. T. Fielding, "Architectural styles and the design of network-based software architectures," Ph.D. dissertation, Univ. of California, Irvine, CA, USA, 2000.</w:t>
      </w:r>
    </w:p>
    <w:p>
      <w:pPr>
        <w:tabs>
          <w:tab w:val="left" w:pos="567"/>
        </w:tabs>
        <w:spacing w:after="100" w:line="260" w:lineRule="auto"/>
        <w:ind w:left="567" w:hanging="567"/>
      </w:pPr>
      <w:r>
        <w:rPr>
          <w:rFonts w:ascii="Times New Roman" w:cs="Times New Roman" w:eastAsia="Times New Roman" w:hAnsi="Times New Roman"/>
          <w:sz w:val="22"/>
          <w:szCs w:val="22"/>
        </w:rPr>
        <w:t xml:space="preserve">[39]	</w:t>
      </w:r>
      <w:r>
        <w:rPr>
          <w:rFonts w:ascii="Times New Roman" w:cs="Times New Roman" w:eastAsia="Times New Roman" w:hAnsi="Times New Roman"/>
          <w:sz w:val="22"/>
          <w:szCs w:val="22"/>
        </w:rPr>
        <w:t xml:space="preserve">A. J. Berinsky, M. F. Margolis, and M. W. Sances, "Separating the shirkers from the workers? Making sure respondents pay attention on self-administered surveys," Am. J. Polit. Sci., vol. 58, no. 3, pp. 739–753, 2014, doi: 10.1111/ajps.12081.</w:t>
      </w:r>
    </w:p>
    <w:p>
      <w:pPr>
        <w:tabs>
          <w:tab w:val="left" w:pos="567"/>
        </w:tabs>
        <w:spacing w:after="100" w:line="260" w:lineRule="auto"/>
        <w:ind w:left="567" w:hanging="567"/>
      </w:pPr>
      <w:r>
        <w:rPr>
          <w:rFonts w:ascii="Times New Roman" w:cs="Times New Roman" w:eastAsia="Times New Roman" w:hAnsi="Times New Roman"/>
          <w:sz w:val="22"/>
          <w:szCs w:val="22"/>
        </w:rPr>
        <w:t xml:space="preserve">[40]	</w:t>
      </w:r>
      <w:r>
        <w:rPr>
          <w:rFonts w:ascii="Times New Roman" w:cs="Times New Roman" w:eastAsia="Times New Roman" w:hAnsi="Times New Roman"/>
          <w:sz w:val="22"/>
          <w:szCs w:val="22"/>
        </w:rPr>
        <w:t xml:space="preserve">R. Greszki, M. Meyer, and H. Schoen, "Exploring the effects of removing 'too fast' responses and respondents from web surveys," Public Opin. Q., vol. 79, no. 2, pp. 471–503, 2015, doi: 10.1093/poq/nfu058.</w:t>
      </w:r>
    </w:p>
    <w:p>
      <w:pPr>
        <w:tabs>
          <w:tab w:val="left" w:pos="567"/>
        </w:tabs>
        <w:spacing w:after="100" w:line="260" w:lineRule="auto"/>
        <w:ind w:left="567" w:hanging="567"/>
      </w:pPr>
      <w:r>
        <w:rPr>
          <w:rFonts w:ascii="Times New Roman" w:cs="Times New Roman" w:eastAsia="Times New Roman" w:hAnsi="Times New Roman"/>
          <w:sz w:val="22"/>
          <w:szCs w:val="22"/>
        </w:rPr>
        <w:t xml:space="preserve">[41]	</w:t>
      </w:r>
      <w:r>
        <w:rPr>
          <w:rFonts w:ascii="Times New Roman" w:cs="Times New Roman" w:eastAsia="Times New Roman" w:hAnsi="Times New Roman"/>
          <w:sz w:val="22"/>
          <w:szCs w:val="22"/>
        </w:rPr>
        <w:t xml:space="preserve">R. Kennedy, S. Clifford, T. Burleigh, P. D. Waggoner, R. Jewell, and N. J. G. Winter, "The shape of and solutions to the MTurk quality crisis," Polit. Sci. Res. Methods, vol. 8, no. 4, pp. 614–629, 2020, doi: 10.1017/psrm.2020.6.</w:t>
      </w:r>
    </w:p>
    <w:p>
      <w:pPr>
        <w:tabs>
          <w:tab w:val="left" w:pos="567"/>
        </w:tabs>
        <w:spacing w:after="100" w:line="260" w:lineRule="auto"/>
        <w:ind w:left="567" w:hanging="567"/>
      </w:pPr>
      <w:r>
        <w:rPr>
          <w:rFonts w:ascii="Times New Roman" w:cs="Times New Roman" w:eastAsia="Times New Roman" w:hAnsi="Times New Roman"/>
          <w:sz w:val="22"/>
          <w:szCs w:val="22"/>
        </w:rPr>
        <w:t xml:space="preserve">[42]	</w:t>
      </w:r>
      <w:r>
        <w:rPr>
          <w:rFonts w:ascii="Times New Roman" w:cs="Times New Roman" w:eastAsia="Times New Roman" w:hAnsi="Times New Roman"/>
          <w:sz w:val="22"/>
          <w:szCs w:val="22"/>
        </w:rPr>
        <w:t xml:space="preserve">L. Sweeney, "k-anonymity: A model for protecting privacy," Int. J. Uncertain. Fuzziness Knowl.-Based Syst., vol. 10, no. 5, pp. 557–570, 2002.</w:t>
      </w:r>
    </w:p>
    <w:p>
      <w:pPr>
        <w:tabs>
          <w:tab w:val="left" w:pos="567"/>
        </w:tabs>
        <w:spacing w:after="100" w:line="260" w:lineRule="auto"/>
        <w:ind w:left="567" w:hanging="567"/>
      </w:pPr>
      <w:r>
        <w:rPr>
          <w:rFonts w:ascii="Times New Roman" w:cs="Times New Roman" w:eastAsia="Times New Roman" w:hAnsi="Times New Roman"/>
          <w:sz w:val="22"/>
          <w:szCs w:val="22"/>
        </w:rPr>
        <w:t xml:space="preserve">[43]	</w:t>
      </w:r>
      <w:r>
        <w:rPr>
          <w:rFonts w:ascii="Times New Roman" w:cs="Times New Roman" w:eastAsia="Times New Roman" w:hAnsi="Times New Roman"/>
          <w:sz w:val="22"/>
          <w:szCs w:val="22"/>
        </w:rPr>
        <w:t xml:space="preserve">J. A. Krosnick and D. F. Alwin, "An evaluation of a cognitive theory of response-order effects in survey measurement," Public Opin. Q., vol. 51, no. 2, pp. 201–219, 1987.</w:t>
      </w:r>
    </w:p>
    <w:p>
      <w:pPr>
        <w:tabs>
          <w:tab w:val="left" w:pos="567"/>
        </w:tabs>
        <w:spacing w:after="100" w:line="260" w:lineRule="auto"/>
        <w:ind w:left="567" w:hanging="567"/>
      </w:pPr>
      <w:r>
        <w:rPr>
          <w:rFonts w:ascii="Times New Roman" w:cs="Times New Roman" w:eastAsia="Times New Roman" w:hAnsi="Times New Roman"/>
          <w:sz w:val="22"/>
          <w:szCs w:val="22"/>
        </w:rPr>
        <w:t xml:space="preserve">[44]	</w:t>
      </w:r>
      <w:r>
        <w:rPr>
          <w:rFonts w:ascii="Times New Roman" w:cs="Times New Roman" w:eastAsia="Times New Roman" w:hAnsi="Times New Roman"/>
          <w:sz w:val="22"/>
          <w:szCs w:val="22"/>
        </w:rPr>
        <w:t xml:space="preserve">Agile Business Consortium, "MoSCoW prioritisation," agilebusiness.org (accessed Oct. 26, 2026).</w:t>
      </w:r>
    </w:p>
    <w:p>
      <w:pPr>
        <w:tabs>
          <w:tab w:val="left" w:pos="567"/>
        </w:tabs>
        <w:spacing w:after="100" w:line="260" w:lineRule="auto"/>
        <w:ind w:left="567" w:hanging="567"/>
      </w:pPr>
      <w:r>
        <w:rPr>
          <w:rFonts w:ascii="Times New Roman" w:cs="Times New Roman" w:eastAsia="Times New Roman" w:hAnsi="Times New Roman"/>
          <w:sz w:val="22"/>
          <w:szCs w:val="22"/>
        </w:rPr>
        <w:t xml:space="preserve">[45]	</w:t>
      </w:r>
      <w:r>
        <w:rPr>
          <w:rFonts w:ascii="Times New Roman" w:cs="Times New Roman" w:eastAsia="Times New Roman" w:hAnsi="Times New Roman"/>
          <w:sz w:val="22"/>
          <w:szCs w:val="22"/>
        </w:rPr>
        <w:t xml:space="preserve">J. Mellon, J. Bailey, R. Scott, J. Breckwoldt, M. Miori, and P. Schmedeman, "Do AIs know what the most important issue is? Using language models to code open-text social survey responses at scale," Res. Politics, vol. 11, no. 1, 2024, doi: 10.1177/20531680241231468.</w:t>
      </w:r>
    </w:p>
    <w:p>
      <w:pPr>
        <w:tabs>
          <w:tab w:val="left" w:pos="567"/>
        </w:tabs>
        <w:spacing w:after="100" w:line="260" w:lineRule="auto"/>
        <w:ind w:left="567" w:hanging="567"/>
      </w:pPr>
      <w:r>
        <w:rPr>
          <w:rFonts w:ascii="Times New Roman" w:cs="Times New Roman" w:eastAsia="Times New Roman" w:hAnsi="Times New Roman"/>
          <w:sz w:val="22"/>
          <w:szCs w:val="22"/>
        </w:rPr>
        <w:t xml:space="preserve">[46]	</w:t>
      </w:r>
      <w:r>
        <w:rPr>
          <w:rFonts w:ascii="Times New Roman" w:cs="Times New Roman" w:eastAsia="Times New Roman" w:hAnsi="Times New Roman"/>
          <w:sz w:val="22"/>
          <w:szCs w:val="22"/>
        </w:rPr>
        <w:t xml:space="preserve">W. Zhang, Y. Deng, B. Liu, S. J. Pan, and L. Bing, "Sentiment analysis in the era of large language models: A reality check," in Findings of the Association for Computational Linguistics: NAACL 2024, Mexico City, Mexico, 2024, pp. 3881–3906, doi: 10.18653/v1/2024.findings-naacl.246.</w:t>
      </w:r>
    </w:p>
    <w:sectPr>
      <w:footerReference w:type="default" r:id="rId10"/>
      <w:type w:val="nextPage"/>
      <w:pgSz w:w="12240" w:h="15840"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24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keepNext/>
      <w:spacing w:after="160" w:before="240"/>
      <w:outlineLvl w:val="1"/>
    </w:pPr>
    <w:rPr>
      <w:rFonts w:ascii="Times New Roman" w:cs="Times New Roman" w:eastAsia="Times New Roman" w:hAnsi="Times New Roman"/>
      <w:b/>
      <w:bCs/>
      <w:sz w:val="32"/>
      <w:szCs w:val="32"/>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8"/>
      <w:szCs w:val="28"/>
    </w:rPr>
  </w:style>
  <w:style w:type="paragraph" w:styleId="FigureCaption">
    <w:name w:val="FigureCaption"/>
    <w:basedOn w:val="Normal"/>
    <w:next w:val="Normal"/>
    <w:pPr>
      <w:jc w:val="center"/>
    </w:pPr>
    <w:rPr>
      <w:rFonts w:ascii="Times New Roman" w:cs="Times New Roman" w:eastAsia="Times New Roman" w:hAnsi="Times New Roman"/>
      <w:b/>
      <w:bCs/>
      <w:sz w:val="20"/>
      <w:szCs w:val="20"/>
    </w:rPr>
  </w:style>
  <w:style w:type="paragraph" w:styleId="TableCaption">
    <w:name w:val="TableCaption"/>
    <w:basedOn w:val="Normal"/>
    <w:next w:val="Normal"/>
    <w:pPr>
      <w:jc w:val="center"/>
    </w:pPr>
    <w:rPr>
      <w:rFonts w:ascii="Times New Roman" w:cs="Times New Roman" w:eastAsia="Times New Roman" w:hAnsi="Times New Roman"/>
      <w:b/>
      <w:bCs/>
      <w:sz w:val="20"/>
      <w:szCs w:val="20"/>
    </w:rPr>
  </w:style>
  <w:style w:type="paragraph" w:styleId="TOC1">
    <w:name w:val="toc 1"/>
    <w:basedOn w:val="Normal"/>
    <w:next w:val="Normal"/>
    <w:pPr>
      <w:tabs>
        <w:tab w:val="right" w:pos="9406" w:leader="dot"/>
      </w:tabs>
      <w:spacing w:after="60" w:line="264" w:lineRule="auto"/>
      <w:ind w:left="0"/>
    </w:pPr>
    <w:rPr>
      <w:rFonts w:ascii="Times New Roman" w:cs="Times New Roman" w:eastAsia="Times New Roman" w:hAnsi="Times New Roman"/>
      <w:b w:val="false"/>
      <w:bCs w:val="false"/>
      <w:sz w:val="24"/>
      <w:szCs w:val="24"/>
    </w:rPr>
  </w:style>
  <w:style w:type="paragraph" w:styleId="TOC2">
    <w:name w:val="toc 2"/>
    <w:basedOn w:val="Normal"/>
    <w:next w:val="Normal"/>
    <w:pPr>
      <w:tabs>
        <w:tab w:val="right" w:pos="9406" w:leader="dot"/>
      </w:tabs>
      <w:spacing w:after="60" w:line="264" w:lineRule="auto"/>
      <w:ind w:left="360"/>
    </w:pPr>
    <w:rPr>
      <w:rFonts w:ascii="Times New Roman" w:cs="Times New Roman" w:eastAsia="Times New Roman" w:hAnsi="Times New Roman"/>
      <w:b w:val="false"/>
      <w:bCs w:val="false"/>
      <w:sz w:val="24"/>
      <w:szCs w:val="24"/>
    </w:rPr>
  </w:style>
  <w:style w:type="paragraph" w:styleId="TOC3">
    <w:name w:val="toc 3"/>
    <w:basedOn w:val="Normal"/>
    <w:next w:val="Normal"/>
    <w:pPr>
      <w:tabs>
        <w:tab w:val="right" w:pos="9406" w:leader="dot"/>
      </w:tabs>
      <w:spacing w:after="60" w:line="264" w:lineRule="auto"/>
      <w:ind w:left="720"/>
    </w:pPr>
    <w:rPr>
      <w:rFonts w:ascii="Times New Roman" w:cs="Times New Roman" w:eastAsia="Times New Roman" w:hAnsi="Times New Roman"/>
      <w:b w:val="false"/>
      <w:bCs w:val="false"/>
      <w:sz w:val="24"/>
      <w:szCs w:val="24"/>
    </w:rPr>
  </w:style>
  <w:style w:type="paragraph" w:styleId="TOC4">
    <w:name w:val="toc 4"/>
    <w:basedOn w:val="Normal"/>
    <w:next w:val="Normal"/>
    <w:pPr>
      <w:tabs>
        <w:tab w:val="right" w:pos="9406" w:leader="dot"/>
      </w:tabs>
      <w:spacing w:after="60" w:line="264" w:lineRule="auto"/>
      <w:ind w:left="1080"/>
    </w:pPr>
    <w:rPr>
      <w:rFonts w:ascii="Times New Roman" w:cs="Times New Roman" w:eastAsia="Times New Roman" w:hAnsi="Times New Roman"/>
      <w:b w:val="false"/>
      <w:bCs w:val="false"/>
      <w:sz w:val="24"/>
      <w:szCs w:val="24"/>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defdc6d9910a802849a3c2d6cef08d01f51f1c3a.png"/><Relationship Id="rId13" Type="http://schemas.openxmlformats.org/officeDocument/2006/relationships/image" Target="media/d86f0f676376ab646cbe798d9274e0ee11355f02.jpg"/><Relationship Id="rId14" Type="http://schemas.openxmlformats.org/officeDocument/2006/relationships/image" Target="media/d5ace9d74fd59a144c200b1d6288a8c0dce6d61c.png"/><Relationship Id="rId15" Type="http://schemas.openxmlformats.org/officeDocument/2006/relationships/image" Target="media/c6fd0fb2435c1fa7cffb036de47e99bbefbe1b35.png"/><Relationship Id="rId16" Type="http://schemas.openxmlformats.org/officeDocument/2006/relationships/image" Target="media/2e20d3b58cfb10e00c98f6b23d9759c2bb292ac7.png"/><Relationship Id="rId17" Type="http://schemas.openxmlformats.org/officeDocument/2006/relationships/image" Target="media/e8dd04225f8ddb5a755b7d58607df712c52a6964.png"/><Relationship Id="rId18" Type="http://schemas.openxmlformats.org/officeDocument/2006/relationships/image" Target="media/9c11417fc35c94073e244c081bc22814fd26dc5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Survey Platform — Graduation Project 1 Report, Chapters 1–3</dc:title>
  <dc:creator>Smart Survey team</dc:creator>
  <cp:lastModifiedBy>Un-named</cp:lastModifiedBy>
  <cp:revision>1</cp:revision>
  <dcterms:created xsi:type="dcterms:W3CDTF">2026-10-28T15:15:43.015Z</dcterms:created>
  <dcterms:modified xsi:type="dcterms:W3CDTF">2026-10-28T15:15:43.031Z</dcterms:modified>
</cp:coreProperties>
</file>

<file path=docProps/custom.xml><?xml version="1.0" encoding="utf-8"?>
<Properties xmlns="http://schemas.openxmlformats.org/officeDocument/2006/custom-properties" xmlns:vt="http://schemas.openxmlformats.org/officeDocument/2006/docPropsVTypes"/>
</file>