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Compensation Bands</w:t>
      </w:r>
    </w:p>
    <w:p>
      <w:r>
        <w:rPr>
          <w:b/>
          <w:bCs/>
        </w:rPr>
        <w:t xml:space="preserve">Acme MENA Technology — Human Resources</w:t>
      </w:r>
    </w:p>
    <w:p>
      <w:r>
        <w:t xml:space="preserve">Document owner: Head of Compensation · Effective: 1 March 2026 · Version 2.0</w:t>
      </w:r>
    </w:p>
    <w:p>
      <w:r>
        <w:t xml:space="preserve">Classification: HR only. Do not share outside the HR Department.</w:t>
      </w:r>
    </w:p>
    <w:p>
      <w:pPr>
        <w:pStyle w:val="Heading2"/>
      </w:pPr>
      <w:r>
        <w:t xml:space="preserve">1. Purpose</w:t>
      </w:r>
    </w:p>
    <w:p>
      <w:r>
        <w:t xml:space="preserve">This document defines annual base salary bands by grade for employees at grades G1 to G7.</w:t>
      </w:r>
    </w:p>
    <w:p>
      <w:pPr>
        <w:pStyle w:val="Heading2"/>
      </w:pPr>
      <w:r>
        <w:t xml:space="preserve">2. Annual Base Salary Bands</w:t>
      </w:r>
    </w:p>
    <w:tbl>
      <w:tblPr>
        <w:tblW w:w="900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/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w="2250" w:type="dxa"/>
            <w:shd w:val="clear" w:color="auto" w:fill="E7E6E6"/>
          </w:tcPr>
          <w:p>
            <w:r>
              <w:rPr>
                <w:b/>
                <w:bCs/>
              </w:rPr>
              <w:t xml:space="preserve">Grade</w:t>
            </w:r>
          </w:p>
        </w:tc>
        <w:tc>
          <w:tcPr>
            <w:tcW w:w="2250" w:type="dxa"/>
            <w:shd w:val="clear" w:color="auto" w:fill="E7E6E6"/>
          </w:tcPr>
          <w:p>
            <w:r>
              <w:rPr>
                <w:b/>
                <w:bCs/>
              </w:rPr>
              <w:t xml:space="preserve">Minimum (USD)</w:t>
            </w:r>
          </w:p>
        </w:tc>
        <w:tc>
          <w:tcPr>
            <w:tcW w:w="2250" w:type="dxa"/>
            <w:shd w:val="clear" w:color="auto" w:fill="E7E6E6"/>
          </w:tcPr>
          <w:p>
            <w:r>
              <w:rPr>
                <w:b/>
                <w:bCs/>
              </w:rPr>
              <w:t xml:space="preserve">Maximum (USD)</w:t>
            </w:r>
          </w:p>
        </w:tc>
        <w:tc>
          <w:tcPr>
            <w:tcW w:w="2250" w:type="dxa"/>
            <w:shd w:val="clear" w:color="auto" w:fill="E7E6E6"/>
          </w:tcPr>
          <w:p>
            <w:r>
              <w:rPr>
                <w:b/>
                <w:bCs/>
              </w:rPr>
              <w:t xml:space="preserve">Annual bonus target</w:t>
            </w:r>
          </w:p>
        </w:tc>
      </w:tr>
      <w:tr>
        <w:tc>
          <w:tcPr>
            <w:tcW w:w="2250" w:type="dxa"/>
          </w:tcPr>
          <w:p>
            <w:r>
              <w:t xml:space="preserve">G1</w:t>
            </w:r>
          </w:p>
        </w:tc>
        <w:tc>
          <w:tcPr>
            <w:tcW w:w="2250" w:type="dxa"/>
          </w:tcPr>
          <w:p>
            <w:r>
              <w:t xml:space="preserve">18,000</w:t>
            </w:r>
          </w:p>
        </w:tc>
        <w:tc>
          <w:tcPr>
            <w:tcW w:w="2250" w:type="dxa"/>
          </w:tcPr>
          <w:p>
            <w:r>
              <w:t xml:space="preserve">24,000</w:t>
            </w:r>
          </w:p>
        </w:tc>
        <w:tc>
          <w:tcPr>
            <w:tcW w:w="2250" w:type="dxa"/>
          </w:tcPr>
          <w:p>
            <w:r>
              <w:t xml:space="preserve">8%</w:t>
            </w:r>
          </w:p>
        </w:tc>
      </w:tr>
      <w:tr>
        <w:tc>
          <w:tcPr>
            <w:tcW w:w="2250" w:type="dxa"/>
          </w:tcPr>
          <w:p>
            <w:r>
              <w:t xml:space="preserve">G2</w:t>
            </w:r>
          </w:p>
        </w:tc>
        <w:tc>
          <w:tcPr>
            <w:tcW w:w="2250" w:type="dxa"/>
          </w:tcPr>
          <w:p>
            <w:r>
              <w:t xml:space="preserve">24,000</w:t>
            </w:r>
          </w:p>
        </w:tc>
        <w:tc>
          <w:tcPr>
            <w:tcW w:w="2250" w:type="dxa"/>
          </w:tcPr>
          <w:p>
            <w:r>
              <w:t xml:space="preserve">32,000</w:t>
            </w:r>
          </w:p>
        </w:tc>
        <w:tc>
          <w:tcPr>
            <w:tcW w:w="2250" w:type="dxa"/>
          </w:tcPr>
          <w:p>
            <w:r>
              <w:t xml:space="preserve">8%</w:t>
            </w:r>
          </w:p>
        </w:tc>
      </w:tr>
      <w:tr>
        <w:tc>
          <w:tcPr>
            <w:tcW w:w="2250" w:type="dxa"/>
          </w:tcPr>
          <w:p>
            <w:r>
              <w:t xml:space="preserve">G3</w:t>
            </w:r>
          </w:p>
        </w:tc>
        <w:tc>
          <w:tcPr>
            <w:tcW w:w="2250" w:type="dxa"/>
          </w:tcPr>
          <w:p>
            <w:r>
              <w:t xml:space="preserve">32,000</w:t>
            </w:r>
          </w:p>
        </w:tc>
        <w:tc>
          <w:tcPr>
            <w:tcW w:w="2250" w:type="dxa"/>
          </w:tcPr>
          <w:p>
            <w:r>
              <w:t xml:space="preserve">44,000</w:t>
            </w:r>
          </w:p>
        </w:tc>
        <w:tc>
          <w:tcPr>
            <w:tcW w:w="2250" w:type="dxa"/>
          </w:tcPr>
          <w:p>
            <w:r>
              <w:t xml:space="preserve">8%</w:t>
            </w:r>
          </w:p>
        </w:tc>
      </w:tr>
      <w:tr>
        <w:tc>
          <w:tcPr>
            <w:tcW w:w="2250" w:type="dxa"/>
          </w:tcPr>
          <w:p>
            <w:r>
              <w:t xml:space="preserve">G4</w:t>
            </w:r>
          </w:p>
        </w:tc>
        <w:tc>
          <w:tcPr>
            <w:tcW w:w="2250" w:type="dxa"/>
          </w:tcPr>
          <w:p>
            <w:r>
              <w:t xml:space="preserve">44,000</w:t>
            </w:r>
          </w:p>
        </w:tc>
        <w:tc>
          <w:tcPr>
            <w:tcW w:w="2250" w:type="dxa"/>
          </w:tcPr>
          <w:p>
            <w:r>
              <w:t xml:space="preserve">60,000</w:t>
            </w:r>
          </w:p>
        </w:tc>
        <w:tc>
          <w:tcPr>
            <w:tcW w:w="2250" w:type="dxa"/>
          </w:tcPr>
          <w:p>
            <w:r>
              <w:t xml:space="preserve">12%</w:t>
            </w:r>
          </w:p>
        </w:tc>
      </w:tr>
      <w:tr>
        <w:tc>
          <w:tcPr>
            <w:tcW w:w="2250" w:type="dxa"/>
          </w:tcPr>
          <w:p>
            <w:r>
              <w:t xml:space="preserve">G5</w:t>
            </w:r>
          </w:p>
        </w:tc>
        <w:tc>
          <w:tcPr>
            <w:tcW w:w="2250" w:type="dxa"/>
          </w:tcPr>
          <w:p>
            <w:r>
              <w:t xml:space="preserve">60,000</w:t>
            </w:r>
          </w:p>
        </w:tc>
        <w:tc>
          <w:tcPr>
            <w:tcW w:w="2250" w:type="dxa"/>
          </w:tcPr>
          <w:p>
            <w:r>
              <w:t xml:space="preserve">82,000</w:t>
            </w:r>
          </w:p>
        </w:tc>
        <w:tc>
          <w:tcPr>
            <w:tcW w:w="2250" w:type="dxa"/>
          </w:tcPr>
          <w:p>
            <w:r>
              <w:t xml:space="preserve">12%</w:t>
            </w:r>
          </w:p>
        </w:tc>
      </w:tr>
      <w:tr>
        <w:tc>
          <w:tcPr>
            <w:tcW w:w="2250" w:type="dxa"/>
          </w:tcPr>
          <w:p>
            <w:r>
              <w:t xml:space="preserve">G6</w:t>
            </w:r>
          </w:p>
        </w:tc>
        <w:tc>
          <w:tcPr>
            <w:tcW w:w="2250" w:type="dxa"/>
          </w:tcPr>
          <w:p>
            <w:r>
              <w:t xml:space="preserve">82,000</w:t>
            </w:r>
          </w:p>
        </w:tc>
        <w:tc>
          <w:tcPr>
            <w:tcW w:w="2250" w:type="dxa"/>
          </w:tcPr>
          <w:p>
            <w:r>
              <w:t xml:space="preserve">110,000</w:t>
            </w:r>
          </w:p>
        </w:tc>
        <w:tc>
          <w:tcPr>
            <w:tcW w:w="2250" w:type="dxa"/>
          </w:tcPr>
          <w:p>
            <w:r>
              <w:t xml:space="preserve">15%</w:t>
            </w:r>
          </w:p>
        </w:tc>
      </w:tr>
      <w:tr>
        <w:tc>
          <w:tcPr>
            <w:tcW w:w="2250" w:type="dxa"/>
          </w:tcPr>
          <w:p>
            <w:r>
              <w:t xml:space="preserve">G7</w:t>
            </w:r>
          </w:p>
        </w:tc>
        <w:tc>
          <w:tcPr>
            <w:tcW w:w="2250" w:type="dxa"/>
          </w:tcPr>
          <w:p>
            <w:r>
              <w:t xml:space="preserve">110,000</w:t>
            </w:r>
          </w:p>
        </w:tc>
        <w:tc>
          <w:tcPr>
            <w:tcW w:w="2250" w:type="dxa"/>
          </w:tcPr>
          <w:p>
            <w:r>
              <w:t xml:space="preserve">150,000</w:t>
            </w:r>
          </w:p>
        </w:tc>
        <w:tc>
          <w:tcPr>
            <w:tcW w:w="2250" w:type="dxa"/>
          </w:tcPr>
          <w:p>
            <w:r>
              <w:t xml:space="preserve">15%</w:t>
            </w:r>
          </w:p>
        </w:tc>
      </w:tr>
    </w:tbl>
    <w:p/>
    <w:p>
      <w:pPr>
        <w:pStyle w:val="Heading2"/>
      </w:pPr>
      <w:r>
        <w:t xml:space="preserve">3. Annual Review</w:t>
      </w:r>
    </w:p>
    <w:p>
      <w:r>
        <w:t xml:space="preserve">Salary reviews take place every March. The average merit increase budget is 4% of total base salary.</w:t>
      </w:r>
    </w:p>
    <w:p>
      <w:pPr>
        <w:pStyle w:val="Heading2"/>
      </w:pPr>
      <w:r>
        <w:t xml:space="preserve">4. Exceptions</w:t>
      </w:r>
    </w:p>
    <w:p>
      <w:r>
        <w:t xml:space="preserve">A salary outside its band needs written approval from the Head of Human Resources and the Finance Director.</w:t>
      </w:r>
    </w:p>
    <w:p>
      <w:pPr>
        <w:pStyle w:val="Heading2"/>
      </w:pPr>
      <w:r>
        <w:t xml:space="preserve">5. Scope</w:t>
      </w:r>
    </w:p>
    <w:p>
      <w:r>
        <w:t xml:space="preserve">This document covers grades G1 to G7 only. Executive compensation is set by the Board of Directors and is not described here.</w:t>
      </w:r>
    </w:p>
    <w:sectPr>
      <w:pgSz w:w="11906" w:h="16838"/>
      <w:pgMar w:top="1440" w:right="1440" w:bottom="1440" w:left="1440" w:header="708" w:footer="708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Arial"/>
        <w:sz w:val="22"/>
        <w:szCs w:val="22"/>
        <w:lang w:val="en-US" w:bidi="ar-SA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spacing w:before="200" w:after="80"/>
      <w:outlineLvl w:val="1"/>
    </w:pPr>
    <w:rPr>
      <w:b/>
      <w:bCs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Compensation Bands</dc:title>
  <dc:creator>Acme MENA Technology (synthetic demo data)</dc:creator>
  <dcterms:created xsi:type="dcterms:W3CDTF">2026-01-01T00:00:00Z</dcterms:created>
</cp:coreProperties>
</file>