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Procurement Policy</w:t>
      </w:r>
    </w:p>
    <w:p>
      <w:r>
        <w:rPr>
          <w:b/>
          <w:bCs/>
        </w:rPr>
        <w:t xml:space="preserve">Acme MENA Technology — Operations</w:t>
      </w:r>
    </w:p>
    <w:p>
      <w:r>
        <w:t xml:space="preserve">Policy owner: Procurement Manager · Effective: 1 January 2026 · Version 2.5</w:t>
      </w:r>
    </w:p>
    <w:p>
      <w:pPr>
        <w:pStyle w:val="Heading2"/>
      </w:pPr>
      <w:r>
        <w:t xml:space="preserve">1. Purchase Approvals</w:t>
      </w:r>
    </w:p>
    <w:tbl>
      <w:tblPr>
        <w:tblW w:w="900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/>
      </w:tblPr>
      <w:tblGrid>
        <w:gridCol w:w="4500"/>
        <w:gridCol w:w="4500"/>
      </w:tblGrid>
      <w:tr>
        <w:trPr>
          <w:tblHeader/>
        </w:trPr>
        <w:tc>
          <w:tcPr>
            <w:tcW w:w="4500" w:type="dxa"/>
            <w:shd w:val="clear" w:color="auto" w:fill="E7E6E6"/>
          </w:tcPr>
          <w:p>
            <w:r>
              <w:rPr>
                <w:b/>
                <w:bCs/>
              </w:rPr>
              <w:t xml:space="preserve">Purchase value</w:t>
            </w:r>
          </w:p>
        </w:tc>
        <w:tc>
          <w:tcPr>
            <w:tcW w:w="4500" w:type="dxa"/>
            <w:shd w:val="clear" w:color="auto" w:fill="E7E6E6"/>
          </w:tcPr>
          <w:p>
            <w:r>
              <w:rPr>
                <w:b/>
                <w:bCs/>
              </w:rPr>
              <w:t xml:space="preserve">Approver</w:t>
            </w:r>
          </w:p>
        </w:tc>
      </w:tr>
      <w:tr>
        <w:tc>
          <w:tcPr>
            <w:tcW w:w="4500" w:type="dxa"/>
          </w:tcPr>
          <w:p>
            <w:r>
              <w:t xml:space="preserve">Under USD 1,000</w:t>
            </w:r>
          </w:p>
        </w:tc>
        <w:tc>
          <w:tcPr>
            <w:tcW w:w="4500" w:type="dxa"/>
          </w:tcPr>
          <w:p>
            <w:r>
              <w:t xml:space="preserve">Line manager</w:t>
            </w:r>
          </w:p>
        </w:tc>
      </w:tr>
      <w:tr>
        <w:tc>
          <w:tcPr>
            <w:tcW w:w="4500" w:type="dxa"/>
          </w:tcPr>
          <w:p>
            <w:r>
              <w:t xml:space="preserve">USD 1,000 to USD 10,000</w:t>
            </w:r>
          </w:p>
        </w:tc>
        <w:tc>
          <w:tcPr>
            <w:tcW w:w="4500" w:type="dxa"/>
          </w:tcPr>
          <w:p>
            <w:r>
              <w:t xml:space="preserve">Department head</w:t>
            </w:r>
          </w:p>
        </w:tc>
      </w:tr>
      <w:tr>
        <w:tc>
          <w:tcPr>
            <w:tcW w:w="4500" w:type="dxa"/>
          </w:tcPr>
          <w:p>
            <w:r>
              <w:t xml:space="preserve">Over USD 10,000</w:t>
            </w:r>
          </w:p>
        </w:tc>
        <w:tc>
          <w:tcPr>
            <w:tcW w:w="4500" w:type="dxa"/>
          </w:tcPr>
          <w:p>
            <w:r>
              <w:t xml:space="preserve">Finance Director</w:t>
            </w:r>
          </w:p>
        </w:tc>
      </w:tr>
    </w:tbl>
    <w:p/>
    <w:p>
      <w:pPr>
        <w:pStyle w:val="Heading2"/>
      </w:pPr>
      <w:r>
        <w:t xml:space="preserve">2. Purchase Orders</w:t>
      </w:r>
    </w:p>
    <w:p>
      <w:r>
        <w:t xml:space="preserve">A purchase order is required for every purchase above USD 500. Goods or services must not be ordered before the purchase order is issued.</w:t>
      </w:r>
    </w:p>
    <w:p>
      <w:pPr>
        <w:pStyle w:val="Heading2"/>
      </w:pPr>
      <w:r>
        <w:t xml:space="preserve">3. Competitive Quotes</w:t>
      </w:r>
    </w:p>
    <w:p>
      <w:r>
        <w:t xml:space="preserve">Purchases above USD 50,000 require at least 3 written quotes from different suppliers.</w:t>
      </w:r>
    </w:p>
    <w:p>
      <w:r>
        <w:br w:type="page"/>
      </w:r>
    </w:p>
    <w:p>
      <w:pPr>
        <w:pStyle w:val="Heading2"/>
      </w:pPr>
      <w:r>
        <w:t xml:space="preserve">4. New Suppliers</w:t>
      </w:r>
    </w:p>
    <w:p>
      <w:r>
        <w:t xml:space="preserve">Every new supplier completes a due diligence check by the Procurement team before the first order.</w:t>
      </w:r>
    </w:p>
    <w:p>
      <w:pPr>
        <w:pStyle w:val="Heading2"/>
      </w:pPr>
      <w:r>
        <w:t xml:space="preserve">5. Payment Terms</w:t>
      </w:r>
    </w:p>
    <w:p>
      <w:r>
        <w:t xml:space="preserve">Standard payment terms are 30 days from the invoice date.</w:t>
      </w:r>
    </w:p>
    <w:p>
      <w:pPr>
        <w:pStyle w:val="Heading2"/>
      </w:pPr>
      <w:r>
        <w:t xml:space="preserve">6. Emergency Purchases</w:t>
      </w:r>
    </w:p>
    <w:p>
      <w:r>
        <w:t xml:space="preserve">In an emergency, a purchase may be made with verbal approval from the approver, and the purchase order must be regularised within 2 working days.</w:t>
      </w:r>
    </w:p>
    <w:p>
      <w:pPr>
        <w:pStyle w:val="Heading2"/>
      </w:pPr>
      <w:r>
        <w:t xml:space="preserve">7. Conflicts of Interest</w:t>
      </w:r>
    </w:p>
    <w:p>
      <w:r>
        <w:t xml:space="preserve">Employees must not select a supplier owned by a relative or by themselves without declaring the interest to the Compliance Officer.</w:t>
      </w:r>
    </w:p>
    <w:sectPr>
      <w:pgSz w:w="11906" w:h="16838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Arial"/>
        <w:sz w:val="22"/>
        <w:szCs w:val="22"/>
        <w:lang w:val="en-US" w:bidi="ar-SA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240" w:after="120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spacing w:before="200" w:after="80"/>
      <w:outlineLvl w:val="1"/>
    </w:pPr>
    <w:rPr>
      <w:b/>
      <w:bCs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Procurement Policy</dc:title>
  <dc:creator>Acme MENA Technology (synthetic demo data)</dc:creator>
  <dcterms:created xsi:type="dcterms:W3CDTF">2026-01-01T00:00:00Z</dcterms:created>
</cp:coreProperties>
</file>