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5A31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Decisión del tipo de empresa</w:t>
      </w:r>
    </w:p>
    <w:p w14:paraId="3DA1F5C6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095E7CF5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Uno de los primeros pasos en la formalización es definir el tipo de empresa que se va a crear. Esta decisión determina la estructura legal, la forma de responsabilidad y la manera de operar.</w:t>
      </w:r>
    </w:p>
    <w:p w14:paraId="08EC762F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Existen dos grandes opciones:</w:t>
      </w:r>
    </w:p>
    <w:p w14:paraId="727E9EDF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7EA1BAE2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Persona Natural</w:t>
      </w:r>
    </w:p>
    <w:p w14:paraId="1D8B6345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Corresponde a una persona que realiza actividades económicas a su nombre.</w:t>
      </w:r>
    </w:p>
    <w:p w14:paraId="076C0897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56923703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Características:</w:t>
      </w:r>
    </w:p>
    <w:p w14:paraId="425543BC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5C144E60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No separa completamente las finanzas personales del negocio.</w:t>
      </w:r>
    </w:p>
    <w:p w14:paraId="120F92DE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Se usa para actividades individuales.</w:t>
      </w:r>
    </w:p>
    <w:p w14:paraId="7A8207E4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Incluye modalidades como:</w:t>
      </w:r>
    </w:p>
    <w:p w14:paraId="6975AD56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6287B1A7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Persona Natural con Giro</w:t>
      </w:r>
    </w:p>
    <w:p w14:paraId="0AB745B6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Microempresa Familiar</w:t>
      </w:r>
    </w:p>
    <w:p w14:paraId="33FA1C21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1D15DCA1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6ABDE0A1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115F8005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17BEF924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Persona Jurídica</w:t>
      </w:r>
    </w:p>
    <w:p w14:paraId="14688BD5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Es una entidad legal distinta de las personas que la conforman.</w:t>
      </w:r>
    </w:p>
    <w:p w14:paraId="09C9353C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070C03E2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Características:</w:t>
      </w:r>
    </w:p>
    <w:p w14:paraId="72FDBAB5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0AF0A825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Permite separar el patrimonio personal del empresarial.</w:t>
      </w:r>
    </w:p>
    <w:p w14:paraId="4D6F469E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Puede incluir uno o más socios.</w:t>
      </w:r>
    </w:p>
    <w:p w14:paraId="40F4F78F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Define responsabilidades compartidas según el tipo elegido.</w:t>
      </w:r>
    </w:p>
    <w:p w14:paraId="10CA12D3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3340F561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Opciones comunes:</w:t>
      </w:r>
    </w:p>
    <w:p w14:paraId="5E126413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029624F1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Empresa Individual de Responsabilidad Limitada (EIRL)</w:t>
      </w:r>
    </w:p>
    <w:p w14:paraId="5513E493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Sociedad de Responsabilidad Limitada (SRL)</w:t>
      </w:r>
    </w:p>
    <w:p w14:paraId="7734CFFD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Sociedad por Acciones (SpA)</w:t>
      </w:r>
    </w:p>
    <w:p w14:paraId="401C2607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Sociedad Anónima</w:t>
      </w:r>
    </w:p>
    <w:p w14:paraId="12EBC3F8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Sociedad Colectiva o Comanditaria</w:t>
      </w:r>
    </w:p>
    <w:p w14:paraId="79C9CA5F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</w:p>
    <w:p w14:paraId="4D659114" w14:textId="77777777" w:rsidR="00182C1B" w:rsidRPr="00182C1B" w:rsidRDefault="00182C1B" w:rsidP="00182C1B">
      <w:pPr>
        <w:pStyle w:val="Textosinformato"/>
        <w:rPr>
          <w:rFonts w:ascii="Courier New" w:hAnsi="Courier New" w:cs="Courier New"/>
        </w:rPr>
      </w:pPr>
      <w:r w:rsidRPr="00182C1B">
        <w:rPr>
          <w:rFonts w:ascii="Courier New" w:hAnsi="Courier New" w:cs="Courier New"/>
        </w:rPr>
        <w:t>La elección depende de factores como la cantidad de socios, el nivel de responsabilidad que se quiere asumir y la forma de administración del negocio.</w:t>
      </w:r>
    </w:p>
    <w:sectPr w:rsidR="00182C1B" w:rsidRPr="00182C1B" w:rsidSect="00182C1B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2"/>
    <w:rsid w:val="001370A2"/>
    <w:rsid w:val="00182C1B"/>
    <w:rsid w:val="005B570B"/>
    <w:rsid w:val="00734D84"/>
    <w:rsid w:val="00AA475C"/>
    <w:rsid w:val="00E6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B625"/>
  <w15:chartTrackingRefBased/>
  <w15:docId w15:val="{1B22DC64-BD61-495E-A874-365B44FB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135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135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SERMEÑO VENEGAS TOMÁS I</dc:creator>
  <cp:keywords/>
  <dc:description/>
  <cp:lastModifiedBy>SERMEÑO VENEGAS TOMÁS I</cp:lastModifiedBy>
  <cp:revision>2</cp:revision>
  <dcterms:created xsi:type="dcterms:W3CDTF">2026-05-28T22:25:00Z</dcterms:created>
  <dcterms:modified xsi:type="dcterms:W3CDTF">2026-05-28T22:25:00Z</dcterms:modified>
</cp:coreProperties>
</file>