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79E7" w14:textId="77777777" w:rsidR="00601D74" w:rsidRPr="00601D74" w:rsidRDefault="00601D74" w:rsidP="00601D74">
      <w:pPr>
        <w:rPr>
          <w:b/>
          <w:bCs/>
        </w:rPr>
      </w:pPr>
      <w:r w:rsidRPr="00601D74">
        <w:rPr>
          <w:b/>
          <w:bCs/>
        </w:rPr>
        <w:t>Marco Regulatorio y Operativo de los Agentes de Valores</w:t>
      </w:r>
    </w:p>
    <w:p w14:paraId="698F621D" w14:textId="77777777" w:rsidR="00601D74" w:rsidRPr="00601D74" w:rsidRDefault="00601D74" w:rsidP="00601D74">
      <w:pPr>
        <w:rPr>
          <w:b/>
          <w:bCs/>
        </w:rPr>
      </w:pPr>
      <w:r w:rsidRPr="00601D74">
        <w:rPr>
          <w:b/>
          <w:bCs/>
        </w:rPr>
        <w:t>Resumen ejecutivo</w:t>
      </w:r>
    </w:p>
    <w:p w14:paraId="3CB3F283" w14:textId="77777777" w:rsidR="00601D74" w:rsidRPr="00601D74" w:rsidRDefault="00601D74" w:rsidP="00601D74">
      <w:r w:rsidRPr="00601D74">
        <w:t>Los Agentes de Valores son intermediarios del mercado de capitales que operan exclusivamente fuera de las Bolsas de Valores (mercado extrabursátil). Su función principal es la intermediación de valores distintos de las acciones, actuando como nexo entre compradores y vendedores o como demandantes de valores. Para ejercer, deben cumplir con estrictos requisitos de inscripción ante la Comisión para el Mercado Financiero (CMF), solvencia patrimonial (mínimo 6.000 UF) y garantías financieras, estando sujetos a un régimen de fiscalización e información continua.</w:t>
      </w:r>
    </w:p>
    <w:p w14:paraId="5E6B6EB8" w14:textId="77777777" w:rsidR="00601D74" w:rsidRPr="00601D74" w:rsidRDefault="00601D74" w:rsidP="00601D74">
      <w:r w:rsidRPr="00601D74">
        <w:pict w14:anchorId="1C478046">
          <v:rect id="_x0000_i1049" style="width:0;height:1.5pt" o:hralign="center" o:hrstd="t" o:hr="t" fillcolor="#a0a0a0" stroked="f"/>
        </w:pict>
      </w:r>
    </w:p>
    <w:p w14:paraId="5A836E98" w14:textId="77777777" w:rsidR="00601D74" w:rsidRPr="00601D74" w:rsidRDefault="00601D74" w:rsidP="00601D74">
      <w:pPr>
        <w:rPr>
          <w:b/>
          <w:bCs/>
        </w:rPr>
      </w:pPr>
      <w:r w:rsidRPr="00601D74">
        <w:rPr>
          <w:b/>
          <w:bCs/>
        </w:rPr>
        <w:t>Contexto / Antecedentes</w:t>
      </w:r>
    </w:p>
    <w:p w14:paraId="7F36B0AE" w14:textId="77777777" w:rsidR="00601D74" w:rsidRPr="00601D74" w:rsidRDefault="00601D74" w:rsidP="00601D74">
      <w:r w:rsidRPr="00601D74">
        <w:t xml:space="preserve">En el marco de la </w:t>
      </w:r>
      <w:r w:rsidRPr="00601D74">
        <w:rPr>
          <w:b/>
          <w:bCs/>
        </w:rPr>
        <w:t xml:space="preserve">Ley </w:t>
      </w:r>
      <w:proofErr w:type="spellStart"/>
      <w:r w:rsidRPr="00601D74">
        <w:rPr>
          <w:b/>
          <w:bCs/>
        </w:rPr>
        <w:t>N°</w:t>
      </w:r>
      <w:proofErr w:type="spellEnd"/>
      <w:r w:rsidRPr="00601D74">
        <w:rPr>
          <w:b/>
          <w:bCs/>
        </w:rPr>
        <w:t xml:space="preserve"> 18.045 de Mercado de Valores</w:t>
      </w:r>
      <w:r w:rsidRPr="00601D74">
        <w:t>, los Agentes de Valores surgen como figuras necesarias para dinamizar el mercado fuera de los recintos bursátiles tradicionales. A diferencia de los Corredores de Bolsa, su campo de acción se centra en instrumentos de deuda e intermediación financiera, proporcionando una infraestructura alternativa para la transacción de valores y servicios de custodia bajo la supervisión estatal.</w:t>
      </w:r>
    </w:p>
    <w:p w14:paraId="7024FFE4" w14:textId="77777777" w:rsidR="00601D74" w:rsidRPr="00601D74" w:rsidRDefault="00601D74" w:rsidP="00601D74">
      <w:r w:rsidRPr="00601D74">
        <w:pict w14:anchorId="7E10C056">
          <v:rect id="_x0000_i1050" style="width:0;height:1.5pt" o:hralign="center" o:hrstd="t" o:hr="t" fillcolor="#a0a0a0" stroked="f"/>
        </w:pict>
      </w:r>
    </w:p>
    <w:p w14:paraId="5679B142" w14:textId="77777777" w:rsidR="00601D74" w:rsidRPr="00601D74" w:rsidRDefault="00601D74" w:rsidP="00601D74">
      <w:pPr>
        <w:rPr>
          <w:b/>
          <w:bCs/>
        </w:rPr>
      </w:pPr>
      <w:r w:rsidRPr="00601D74">
        <w:rPr>
          <w:b/>
          <w:bCs/>
        </w:rPr>
        <w:t>Desarrollo del contenido</w:t>
      </w:r>
    </w:p>
    <w:p w14:paraId="15920C51" w14:textId="77777777" w:rsidR="00601D74" w:rsidRPr="00601D74" w:rsidRDefault="00601D74" w:rsidP="00601D74">
      <w:pPr>
        <w:rPr>
          <w:b/>
          <w:bCs/>
        </w:rPr>
      </w:pPr>
      <w:r w:rsidRPr="00601D74">
        <w:rPr>
          <w:b/>
          <w:bCs/>
        </w:rPr>
        <w:t>Sección 1: Definición y Ámbito de Acción</w:t>
      </w:r>
    </w:p>
    <w:p w14:paraId="1EEF4303" w14:textId="77777777" w:rsidR="00601D74" w:rsidRPr="00601D74" w:rsidRDefault="00601D74" w:rsidP="00601D74">
      <w:r w:rsidRPr="00601D74">
        <w:t>Los Agentes de Valores se caracterizan por su rol mediador en el mercado extrabursátil:</w:t>
      </w:r>
    </w:p>
    <w:p w14:paraId="5BEA9DC9" w14:textId="77777777" w:rsidR="00601D74" w:rsidRPr="00601D74" w:rsidRDefault="00601D74" w:rsidP="00601D74">
      <w:pPr>
        <w:numPr>
          <w:ilvl w:val="0"/>
          <w:numId w:val="1"/>
        </w:numPr>
      </w:pPr>
      <w:r w:rsidRPr="00601D74">
        <w:rPr>
          <w:b/>
          <w:bCs/>
        </w:rPr>
        <w:t>Naturaleza:</w:t>
      </w:r>
      <w:r w:rsidRPr="00601D74">
        <w:t xml:space="preserve"> Intermediarios de valores que operan fuera de las Bolsas de Valores.</w:t>
      </w:r>
    </w:p>
    <w:p w14:paraId="52B3FDBD" w14:textId="77777777" w:rsidR="00601D74" w:rsidRPr="00601D74" w:rsidRDefault="00601D74" w:rsidP="00601D74">
      <w:pPr>
        <w:numPr>
          <w:ilvl w:val="0"/>
          <w:numId w:val="1"/>
        </w:numPr>
      </w:pPr>
      <w:r w:rsidRPr="00601D74">
        <w:rPr>
          <w:b/>
          <w:bCs/>
        </w:rPr>
        <w:t>Limitación operativa:</w:t>
      </w:r>
      <w:r w:rsidRPr="00601D74">
        <w:t xml:space="preserve"> Su capacidad de intermediación se restringe a valores </w:t>
      </w:r>
      <w:r w:rsidRPr="00601D74">
        <w:rPr>
          <w:b/>
          <w:bCs/>
        </w:rPr>
        <w:t>distintos de las acciones</w:t>
      </w:r>
      <w:r w:rsidRPr="00601D74">
        <w:t>.</w:t>
      </w:r>
    </w:p>
    <w:p w14:paraId="5E1A0DB5" w14:textId="77777777" w:rsidR="00601D74" w:rsidRPr="00601D74" w:rsidRDefault="00601D74" w:rsidP="00601D74">
      <w:pPr>
        <w:numPr>
          <w:ilvl w:val="0"/>
          <w:numId w:val="1"/>
        </w:numPr>
      </w:pPr>
      <w:r w:rsidRPr="00601D74">
        <w:rPr>
          <w:b/>
          <w:bCs/>
        </w:rPr>
        <w:t>Roles duales:</w:t>
      </w:r>
      <w:r w:rsidRPr="00601D74">
        <w:t xml:space="preserve"> Actúan tanto de intermediarios entre terceros como de demandantes en el mercado.</w:t>
      </w:r>
    </w:p>
    <w:p w14:paraId="288CAEA0" w14:textId="77777777" w:rsidR="00601D74" w:rsidRPr="00601D74" w:rsidRDefault="00601D74" w:rsidP="00601D74">
      <w:pPr>
        <w:rPr>
          <w:b/>
          <w:bCs/>
        </w:rPr>
      </w:pPr>
      <w:r w:rsidRPr="00601D74">
        <w:rPr>
          <w:b/>
          <w:bCs/>
        </w:rPr>
        <w:t>Sección 2: Requisitos Legales y Financieros</w:t>
      </w:r>
    </w:p>
    <w:p w14:paraId="3813E9BF" w14:textId="77777777" w:rsidR="00601D74" w:rsidRPr="00601D74" w:rsidRDefault="00601D74" w:rsidP="00601D74">
      <w:r w:rsidRPr="00601D74">
        <w:t xml:space="preserve">Para obtener y mantener su vigencia en el Registro de Corredores de Bolsa y Agentes de Valores de la CMF, deben cumplir con los artículos 26 y 27 de la Ley </w:t>
      </w:r>
      <w:proofErr w:type="spellStart"/>
      <w:r w:rsidRPr="00601D74">
        <w:t>N°</w:t>
      </w:r>
      <w:proofErr w:type="spellEnd"/>
      <w:r w:rsidRPr="00601D74">
        <w:t xml:space="preserve"> 18.045:</w:t>
      </w:r>
    </w:p>
    <w:p w14:paraId="6EFB1203" w14:textId="77777777" w:rsidR="00601D74" w:rsidRPr="00601D74" w:rsidRDefault="00601D74" w:rsidP="00601D74">
      <w:pPr>
        <w:numPr>
          <w:ilvl w:val="0"/>
          <w:numId w:val="2"/>
        </w:numPr>
      </w:pPr>
      <w:r w:rsidRPr="00601D74">
        <w:rPr>
          <w:b/>
          <w:bCs/>
        </w:rPr>
        <w:lastRenderedPageBreak/>
        <w:t>Requisitos Personales:</w:t>
      </w:r>
      <w:r w:rsidRPr="00601D74">
        <w:t xml:space="preserve"> Ser mayor de edad y acreditar conocimientos suficientes sobre intermediación de valores (según la </w:t>
      </w:r>
      <w:r w:rsidRPr="00601D74">
        <w:rPr>
          <w:b/>
          <w:bCs/>
        </w:rPr>
        <w:t xml:space="preserve">Norma de Carácter General </w:t>
      </w:r>
      <w:proofErr w:type="spellStart"/>
      <w:r w:rsidRPr="00601D74">
        <w:rPr>
          <w:b/>
          <w:bCs/>
        </w:rPr>
        <w:t>N°</w:t>
      </w:r>
      <w:proofErr w:type="spellEnd"/>
      <w:r w:rsidRPr="00601D74">
        <w:rPr>
          <w:b/>
          <w:bCs/>
        </w:rPr>
        <w:t xml:space="preserve"> 412</w:t>
      </w:r>
      <w:r w:rsidRPr="00601D74">
        <w:t>).</w:t>
      </w:r>
    </w:p>
    <w:p w14:paraId="30EEDDD3" w14:textId="77777777" w:rsidR="00601D74" w:rsidRPr="00601D74" w:rsidRDefault="00601D74" w:rsidP="00601D74">
      <w:pPr>
        <w:numPr>
          <w:ilvl w:val="0"/>
          <w:numId w:val="2"/>
        </w:numPr>
      </w:pPr>
      <w:r w:rsidRPr="00601D74">
        <w:rPr>
          <w:b/>
          <w:bCs/>
        </w:rPr>
        <w:t>Estándares de Solvencia:</w:t>
      </w:r>
    </w:p>
    <w:p w14:paraId="56C0AE4F" w14:textId="77777777" w:rsidR="00601D74" w:rsidRPr="00601D74" w:rsidRDefault="00601D74" w:rsidP="00601D74">
      <w:pPr>
        <w:numPr>
          <w:ilvl w:val="1"/>
          <w:numId w:val="2"/>
        </w:numPr>
      </w:pPr>
      <w:r w:rsidRPr="00601D74">
        <w:rPr>
          <w:b/>
          <w:bCs/>
        </w:rPr>
        <w:t>Patrimonio mínimo:</w:t>
      </w:r>
      <w:r w:rsidRPr="00601D74">
        <w:t xml:space="preserve"> Mantener permanentemente al menos </w:t>
      </w:r>
      <w:r w:rsidRPr="00601D74">
        <w:rPr>
          <w:b/>
          <w:bCs/>
        </w:rPr>
        <w:t>6.000 UF</w:t>
      </w:r>
      <w:r w:rsidRPr="00601D74">
        <w:t>.</w:t>
      </w:r>
    </w:p>
    <w:p w14:paraId="38EBF18E" w14:textId="77777777" w:rsidR="00601D74" w:rsidRPr="00601D74" w:rsidRDefault="00601D74" w:rsidP="00601D74">
      <w:pPr>
        <w:numPr>
          <w:ilvl w:val="1"/>
          <w:numId w:val="2"/>
        </w:numPr>
      </w:pPr>
      <w:r w:rsidRPr="00601D74">
        <w:rPr>
          <w:b/>
          <w:bCs/>
        </w:rPr>
        <w:t>Garantía inicial:</w:t>
      </w:r>
      <w:r w:rsidRPr="00601D74">
        <w:t xml:space="preserve"> Constituir una garantía de </w:t>
      </w:r>
      <w:r w:rsidRPr="00601D74">
        <w:rPr>
          <w:b/>
          <w:bCs/>
        </w:rPr>
        <w:t>4.000 UF</w:t>
      </w:r>
      <w:r w:rsidRPr="00601D74">
        <w:t>.</w:t>
      </w:r>
    </w:p>
    <w:p w14:paraId="4E9E9ACB" w14:textId="77777777" w:rsidR="00601D74" w:rsidRPr="00601D74" w:rsidRDefault="00601D74" w:rsidP="00601D74">
      <w:pPr>
        <w:numPr>
          <w:ilvl w:val="0"/>
          <w:numId w:val="2"/>
        </w:numPr>
      </w:pPr>
      <w:r w:rsidRPr="00601D74">
        <w:rPr>
          <w:b/>
          <w:bCs/>
        </w:rPr>
        <w:t>Procedimiento:</w:t>
      </w:r>
      <w:r w:rsidRPr="00601D74">
        <w:t xml:space="preserve"> Presentar una solicitud formal siguiendo las instrucciones de la </w:t>
      </w:r>
      <w:r w:rsidRPr="00601D74">
        <w:rPr>
          <w:b/>
          <w:bCs/>
        </w:rPr>
        <w:t xml:space="preserve">Norma de Carácter General </w:t>
      </w:r>
      <w:proofErr w:type="spellStart"/>
      <w:r w:rsidRPr="00601D74">
        <w:rPr>
          <w:b/>
          <w:bCs/>
        </w:rPr>
        <w:t>N°</w:t>
      </w:r>
      <w:proofErr w:type="spellEnd"/>
      <w:r w:rsidRPr="00601D74">
        <w:rPr>
          <w:b/>
          <w:bCs/>
        </w:rPr>
        <w:t xml:space="preserve"> 16</w:t>
      </w:r>
      <w:r w:rsidRPr="00601D74">
        <w:t>.</w:t>
      </w:r>
    </w:p>
    <w:p w14:paraId="35A53F27" w14:textId="77777777" w:rsidR="00601D74" w:rsidRPr="00601D74" w:rsidRDefault="00601D74" w:rsidP="00601D74">
      <w:pPr>
        <w:rPr>
          <w:b/>
          <w:bCs/>
        </w:rPr>
      </w:pPr>
      <w:r w:rsidRPr="00601D74">
        <w:rPr>
          <w:b/>
          <w:bCs/>
        </w:rPr>
        <w:t>Sección 3: Servicios de Custodia y Cobros</w:t>
      </w:r>
    </w:p>
    <w:p w14:paraId="1F749A1B" w14:textId="77777777" w:rsidR="00601D74" w:rsidRPr="00601D74" w:rsidRDefault="00601D74" w:rsidP="00601D74">
      <w:r w:rsidRPr="00601D74">
        <w:t>Los agentes ofrecen facultades adicionales a la simple compraventa:</w:t>
      </w:r>
    </w:p>
    <w:p w14:paraId="5748B69A" w14:textId="77777777" w:rsidR="00601D74" w:rsidRPr="00601D74" w:rsidRDefault="00601D74" w:rsidP="00601D74">
      <w:pPr>
        <w:numPr>
          <w:ilvl w:val="0"/>
          <w:numId w:val="3"/>
        </w:numPr>
      </w:pPr>
      <w:r w:rsidRPr="00601D74">
        <w:rPr>
          <w:b/>
          <w:bCs/>
        </w:rPr>
        <w:t>Custodia de Valores:</w:t>
      </w:r>
      <w:r w:rsidRPr="00601D74">
        <w:t xml:space="preserve"> Pueden resguardar títulos (instrumentos de deuda, intermediación financiera, etc.). Bajo esta modalidad, el agente puede aparecer registrado como accionista frente a la sociedad, aunque el dueño real sea el inversionista.</w:t>
      </w:r>
    </w:p>
    <w:p w14:paraId="1B922603" w14:textId="77777777" w:rsidR="00601D74" w:rsidRPr="00601D74" w:rsidRDefault="00601D74" w:rsidP="00601D74">
      <w:pPr>
        <w:numPr>
          <w:ilvl w:val="0"/>
          <w:numId w:val="3"/>
        </w:numPr>
      </w:pPr>
      <w:r w:rsidRPr="00601D74">
        <w:rPr>
          <w:b/>
          <w:bCs/>
        </w:rPr>
        <w:t>Voluntariedad:</w:t>
      </w:r>
      <w:r w:rsidRPr="00601D74">
        <w:t xml:space="preserve"> Este servicio es opcional; el inversionista puede decidir mantener los títulos por sí mismo o en otra institución.</w:t>
      </w:r>
    </w:p>
    <w:p w14:paraId="50C9026D" w14:textId="77777777" w:rsidR="00601D74" w:rsidRPr="00601D74" w:rsidRDefault="00601D74" w:rsidP="00601D74">
      <w:pPr>
        <w:numPr>
          <w:ilvl w:val="0"/>
          <w:numId w:val="3"/>
        </w:numPr>
      </w:pPr>
      <w:r w:rsidRPr="00601D74">
        <w:rPr>
          <w:b/>
          <w:bCs/>
        </w:rPr>
        <w:t>Remuneración:</w:t>
      </w:r>
      <w:r w:rsidRPr="00601D74">
        <w:t xml:space="preserve"> La actividad está sujeta al cobro de comisiones, las cuales deben ser informadas debidamente al inversionista.</w:t>
      </w:r>
    </w:p>
    <w:p w14:paraId="4A6EF86C" w14:textId="77777777" w:rsidR="00601D74" w:rsidRPr="00601D74" w:rsidRDefault="00601D74" w:rsidP="00601D74">
      <w:pPr>
        <w:rPr>
          <w:b/>
          <w:bCs/>
        </w:rPr>
      </w:pPr>
      <w:r w:rsidRPr="00601D74">
        <w:rPr>
          <w:b/>
          <w:bCs/>
        </w:rPr>
        <w:t>Sección 4: Relación con la CMF y Transparencia</w:t>
      </w:r>
    </w:p>
    <w:p w14:paraId="1E3D257F" w14:textId="77777777" w:rsidR="00601D74" w:rsidRPr="00601D74" w:rsidRDefault="00601D74" w:rsidP="00601D74">
      <w:r w:rsidRPr="00601D74">
        <w:t>La supervisión de la CMF asegura el cumplimiento de la fe pública mediante:</w:t>
      </w:r>
    </w:p>
    <w:p w14:paraId="2AD43FF2" w14:textId="77777777" w:rsidR="00601D74" w:rsidRPr="00601D74" w:rsidRDefault="00601D74" w:rsidP="00601D74">
      <w:pPr>
        <w:numPr>
          <w:ilvl w:val="0"/>
          <w:numId w:val="4"/>
        </w:numPr>
      </w:pPr>
      <w:r w:rsidRPr="00601D74">
        <w:rPr>
          <w:b/>
          <w:bCs/>
        </w:rPr>
        <w:t>Información Continua:</w:t>
      </w:r>
      <w:r w:rsidRPr="00601D74">
        <w:t xml:space="preserve"> Obligación de enviar estados financieros trimestrales, índices de liquidez, solvencia patrimonial y hechos esenciales.</w:t>
      </w:r>
    </w:p>
    <w:p w14:paraId="2BA5F358" w14:textId="77777777" w:rsidR="00601D74" w:rsidRPr="00601D74" w:rsidRDefault="00601D74" w:rsidP="00601D74">
      <w:pPr>
        <w:numPr>
          <w:ilvl w:val="0"/>
          <w:numId w:val="4"/>
        </w:numPr>
      </w:pPr>
      <w:r w:rsidRPr="00601D74">
        <w:rPr>
          <w:b/>
          <w:bCs/>
        </w:rPr>
        <w:t>Registro Público:</w:t>
      </w:r>
      <w:r w:rsidRPr="00601D74">
        <w:t xml:space="preserve"> Acceso a datos de contacto, historial de sanciones, motivos de </w:t>
      </w:r>
      <w:proofErr w:type="gramStart"/>
      <w:r w:rsidRPr="00601D74">
        <w:t>las mismas</w:t>
      </w:r>
      <w:proofErr w:type="gramEnd"/>
      <w:r w:rsidRPr="00601D74">
        <w:t xml:space="preserve"> e información financiera actualizada a través del sitio web de la Comisión.</w:t>
      </w:r>
    </w:p>
    <w:p w14:paraId="187534F0" w14:textId="77777777" w:rsidR="00601D74" w:rsidRPr="00601D74" w:rsidRDefault="00601D74" w:rsidP="00601D74">
      <w:r w:rsidRPr="00601D74">
        <w:pict w14:anchorId="63AFAB4F">
          <v:rect id="_x0000_i1051" style="width:0;height:1.5pt" o:hralign="center" o:hrstd="t" o:hr="t" fillcolor="#a0a0a0" stroked="f"/>
        </w:pict>
      </w:r>
    </w:p>
    <w:p w14:paraId="637C96FA" w14:textId="77777777" w:rsidR="00601D74" w:rsidRPr="00601D74" w:rsidRDefault="00601D74" w:rsidP="00601D74">
      <w:pPr>
        <w:rPr>
          <w:b/>
          <w:bCs/>
        </w:rPr>
      </w:pPr>
      <w:r w:rsidRPr="00601D74">
        <w:rPr>
          <w:b/>
          <w:bCs/>
        </w:rPr>
        <w:t>Conclusiones o ideas clave</w:t>
      </w:r>
    </w:p>
    <w:p w14:paraId="3DB8F313" w14:textId="77777777" w:rsidR="00601D74" w:rsidRPr="00601D74" w:rsidRDefault="00601D74" w:rsidP="00601D74">
      <w:pPr>
        <w:numPr>
          <w:ilvl w:val="0"/>
          <w:numId w:val="5"/>
        </w:numPr>
      </w:pPr>
      <w:r w:rsidRPr="00601D74">
        <w:rPr>
          <w:b/>
          <w:bCs/>
        </w:rPr>
        <w:t>Especialización Extrabursátil:</w:t>
      </w:r>
      <w:r w:rsidRPr="00601D74">
        <w:t xml:space="preserve"> Su distinción fundamental es operar fuera de la bolsa y la prohibición de intermediar acciones (aunque pueden custodiarlas).</w:t>
      </w:r>
    </w:p>
    <w:p w14:paraId="7B51FC36" w14:textId="77777777" w:rsidR="00601D74" w:rsidRPr="00601D74" w:rsidRDefault="00601D74" w:rsidP="00601D74">
      <w:pPr>
        <w:numPr>
          <w:ilvl w:val="0"/>
          <w:numId w:val="5"/>
        </w:numPr>
      </w:pPr>
      <w:r w:rsidRPr="00601D74">
        <w:rPr>
          <w:b/>
          <w:bCs/>
        </w:rPr>
        <w:lastRenderedPageBreak/>
        <w:t>Garantía de Solvencia:</w:t>
      </w:r>
      <w:r w:rsidRPr="00601D74">
        <w:t xml:space="preserve"> El requisito patrimonial de 6.000 UF y la garantía de 4.000 UF actúan como resguardo para las operaciones de los inversionistas.</w:t>
      </w:r>
    </w:p>
    <w:p w14:paraId="13459B6E" w14:textId="77777777" w:rsidR="00601D74" w:rsidRPr="00601D74" w:rsidRDefault="00601D74" w:rsidP="00601D74">
      <w:pPr>
        <w:numPr>
          <w:ilvl w:val="0"/>
          <w:numId w:val="5"/>
        </w:numPr>
      </w:pPr>
      <w:r w:rsidRPr="00601D74">
        <w:rPr>
          <w:b/>
          <w:bCs/>
        </w:rPr>
        <w:t>Transparencia Activa:</w:t>
      </w:r>
      <w:r w:rsidRPr="00601D74">
        <w:t xml:space="preserve"> El régimen de información continua permite a la CMF y al público monitorear la salud financiera del agente en tiempo real.</w:t>
      </w:r>
    </w:p>
    <w:p w14:paraId="70688F85" w14:textId="77777777" w:rsidR="00601D74" w:rsidRPr="00601D74" w:rsidRDefault="00601D74" w:rsidP="00601D74">
      <w:r w:rsidRPr="00601D74">
        <w:pict w14:anchorId="654BF081">
          <v:rect id="_x0000_i1052" style="width:0;height:1.5pt" o:hralign="center" o:hrstd="t" o:hr="t" fillcolor="#a0a0a0" stroked="f"/>
        </w:pict>
      </w:r>
    </w:p>
    <w:p w14:paraId="7656C2DF" w14:textId="77777777" w:rsidR="00601D74" w:rsidRPr="00601D74" w:rsidRDefault="00601D74" w:rsidP="00601D74">
      <w:pPr>
        <w:rPr>
          <w:b/>
          <w:bCs/>
        </w:rPr>
      </w:pPr>
      <w:proofErr w:type="gramStart"/>
      <w:r w:rsidRPr="00601D74">
        <w:rPr>
          <w:b/>
          <w:bCs/>
        </w:rPr>
        <w:t>Puntos a aclarar</w:t>
      </w:r>
      <w:proofErr w:type="gramEnd"/>
      <w:r w:rsidRPr="00601D74">
        <w:rPr>
          <w:b/>
          <w:bCs/>
        </w:rPr>
        <w:t xml:space="preserve"> / información faltante</w:t>
      </w:r>
    </w:p>
    <w:p w14:paraId="797ED207" w14:textId="77777777" w:rsidR="00601D74" w:rsidRPr="00601D74" w:rsidRDefault="00601D74" w:rsidP="00601D74">
      <w:pPr>
        <w:numPr>
          <w:ilvl w:val="0"/>
          <w:numId w:val="6"/>
        </w:numPr>
      </w:pPr>
      <w:r w:rsidRPr="00601D74">
        <w:rPr>
          <w:b/>
          <w:bCs/>
        </w:rPr>
        <w:t>Intermediación vs. Custodia de Acciones:</w:t>
      </w:r>
      <w:r w:rsidRPr="00601D74">
        <w:t xml:space="preserve"> El texto indica que intermedian valores "distintos de las acciones", pero menciona que en custodia pueden aparecer registrados como "accionistas". Sería necesario precisar si pueden adquirir acciones para un cliente (sin intermediarlas en bolsa) o si la custodia de acciones deriva de otros procesos.</w:t>
      </w:r>
    </w:p>
    <w:p w14:paraId="114C61D6" w14:textId="77777777" w:rsidR="00601D74" w:rsidRPr="00601D74" w:rsidRDefault="00601D74" w:rsidP="00601D74">
      <w:pPr>
        <w:numPr>
          <w:ilvl w:val="0"/>
          <w:numId w:val="6"/>
        </w:numPr>
      </w:pPr>
      <w:r w:rsidRPr="00601D74">
        <w:rPr>
          <w:b/>
          <w:bCs/>
        </w:rPr>
        <w:t>Periodicidad de Acreditación:</w:t>
      </w:r>
      <w:r w:rsidRPr="00601D74">
        <w:t xml:space="preserve"> Se cita la NCG 412 para la acreditación de conocimientos, pero no se detalla cada cuánto tiempo debe renovarse dicha acreditación.</w:t>
      </w:r>
    </w:p>
    <w:p w14:paraId="3A521BFE" w14:textId="77777777" w:rsidR="00601D74" w:rsidRPr="00601D74" w:rsidRDefault="00601D74" w:rsidP="00601D74">
      <w:pPr>
        <w:numPr>
          <w:ilvl w:val="0"/>
          <w:numId w:val="6"/>
        </w:numPr>
      </w:pPr>
      <w:r w:rsidRPr="00601D74">
        <w:rPr>
          <w:b/>
          <w:bCs/>
        </w:rPr>
        <w:t>Detalle de Comisiones:</w:t>
      </w:r>
      <w:r w:rsidRPr="00601D74">
        <w:t xml:space="preserve"> No se especifica si existen límites máximos para las comisiones o si estas son de libre fijación.</w:t>
      </w:r>
    </w:p>
    <w:p w14:paraId="701CEF61"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986"/>
    <w:multiLevelType w:val="multilevel"/>
    <w:tmpl w:val="2B7C8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F49A3"/>
    <w:multiLevelType w:val="multilevel"/>
    <w:tmpl w:val="72B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158C5"/>
    <w:multiLevelType w:val="multilevel"/>
    <w:tmpl w:val="A216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97482"/>
    <w:multiLevelType w:val="multilevel"/>
    <w:tmpl w:val="04C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C3770"/>
    <w:multiLevelType w:val="multilevel"/>
    <w:tmpl w:val="F0E4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F02A2F"/>
    <w:multiLevelType w:val="multilevel"/>
    <w:tmpl w:val="2AE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280832">
    <w:abstractNumId w:val="5"/>
  </w:num>
  <w:num w:numId="2" w16cid:durableId="2054034998">
    <w:abstractNumId w:val="0"/>
  </w:num>
  <w:num w:numId="3" w16cid:durableId="469834033">
    <w:abstractNumId w:val="4"/>
  </w:num>
  <w:num w:numId="4" w16cid:durableId="390618776">
    <w:abstractNumId w:val="1"/>
  </w:num>
  <w:num w:numId="5" w16cid:durableId="2097170051">
    <w:abstractNumId w:val="2"/>
  </w:num>
  <w:num w:numId="6" w16cid:durableId="1436170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EC6"/>
    <w:rsid w:val="00071C90"/>
    <w:rsid w:val="000D1EDE"/>
    <w:rsid w:val="00183EC6"/>
    <w:rsid w:val="00320D26"/>
    <w:rsid w:val="00414AB1"/>
    <w:rsid w:val="005135B5"/>
    <w:rsid w:val="00601D74"/>
    <w:rsid w:val="006473F9"/>
    <w:rsid w:val="00736F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5552"/>
  <w15:chartTrackingRefBased/>
  <w15:docId w15:val="{836AF26E-12E7-451E-991B-D069B8B1E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3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3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3E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3E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3E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3E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3E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3E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3E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3E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3E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3E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3E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3E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3E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3E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3E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3EC6"/>
    <w:rPr>
      <w:rFonts w:eastAsiaTheme="majorEastAsia" w:cstheme="majorBidi"/>
      <w:color w:val="272727" w:themeColor="text1" w:themeTint="D8"/>
    </w:rPr>
  </w:style>
  <w:style w:type="paragraph" w:styleId="Ttulo">
    <w:name w:val="Title"/>
    <w:basedOn w:val="Normal"/>
    <w:next w:val="Normal"/>
    <w:link w:val="TtuloCar"/>
    <w:uiPriority w:val="10"/>
    <w:qFormat/>
    <w:rsid w:val="00183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3E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3E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3E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3EC6"/>
    <w:pPr>
      <w:spacing w:before="160"/>
      <w:jc w:val="center"/>
    </w:pPr>
    <w:rPr>
      <w:i/>
      <w:iCs/>
      <w:color w:val="404040" w:themeColor="text1" w:themeTint="BF"/>
    </w:rPr>
  </w:style>
  <w:style w:type="character" w:customStyle="1" w:styleId="CitaCar">
    <w:name w:val="Cita Car"/>
    <w:basedOn w:val="Fuentedeprrafopredeter"/>
    <w:link w:val="Cita"/>
    <w:uiPriority w:val="29"/>
    <w:rsid w:val="00183EC6"/>
    <w:rPr>
      <w:i/>
      <w:iCs/>
      <w:color w:val="404040" w:themeColor="text1" w:themeTint="BF"/>
    </w:rPr>
  </w:style>
  <w:style w:type="paragraph" w:styleId="Prrafodelista">
    <w:name w:val="List Paragraph"/>
    <w:basedOn w:val="Normal"/>
    <w:uiPriority w:val="34"/>
    <w:qFormat/>
    <w:rsid w:val="00183EC6"/>
    <w:pPr>
      <w:ind w:left="720"/>
      <w:contextualSpacing/>
    </w:pPr>
  </w:style>
  <w:style w:type="character" w:styleId="nfasisintenso">
    <w:name w:val="Intense Emphasis"/>
    <w:basedOn w:val="Fuentedeprrafopredeter"/>
    <w:uiPriority w:val="21"/>
    <w:qFormat/>
    <w:rsid w:val="00183EC6"/>
    <w:rPr>
      <w:i/>
      <w:iCs/>
      <w:color w:val="0F4761" w:themeColor="accent1" w:themeShade="BF"/>
    </w:rPr>
  </w:style>
  <w:style w:type="paragraph" w:styleId="Citadestacada">
    <w:name w:val="Intense Quote"/>
    <w:basedOn w:val="Normal"/>
    <w:next w:val="Normal"/>
    <w:link w:val="CitadestacadaCar"/>
    <w:uiPriority w:val="30"/>
    <w:qFormat/>
    <w:rsid w:val="00183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3EC6"/>
    <w:rPr>
      <w:i/>
      <w:iCs/>
      <w:color w:val="0F4761" w:themeColor="accent1" w:themeShade="BF"/>
    </w:rPr>
  </w:style>
  <w:style w:type="character" w:styleId="Referenciaintensa">
    <w:name w:val="Intense Reference"/>
    <w:basedOn w:val="Fuentedeprrafopredeter"/>
    <w:uiPriority w:val="32"/>
    <w:qFormat/>
    <w:rsid w:val="00183E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669</Words>
  <Characters>3680</Characters>
  <Application>Microsoft Office Word</Application>
  <DocSecurity>0</DocSecurity>
  <Lines>30</Lines>
  <Paragraphs>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2026-05-06T23:18:00Z</dcterms:created>
  <dcterms:modified xsi:type="dcterms:W3CDTF">2026-05-06T23:18:00Z</dcterms:modified>
</cp:coreProperties>
</file>