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DBD0" w14:textId="77777777" w:rsidR="00F31482" w:rsidRPr="00F31482" w:rsidRDefault="00F31482" w:rsidP="00F31482">
      <w:pPr>
        <w:rPr>
          <w:b/>
          <w:bCs/>
        </w:rPr>
      </w:pPr>
      <w:r w:rsidRPr="00F31482">
        <w:rPr>
          <w:b/>
          <w:bCs/>
        </w:rPr>
        <w:t>Marco Institucional, Mandato y Funciones del Banco Central de Chile</w:t>
      </w:r>
    </w:p>
    <w:p w14:paraId="0C68AD22" w14:textId="77777777" w:rsidR="00F31482" w:rsidRPr="00F31482" w:rsidRDefault="00F31482" w:rsidP="00F31482">
      <w:pPr>
        <w:rPr>
          <w:b/>
          <w:bCs/>
        </w:rPr>
      </w:pPr>
      <w:r w:rsidRPr="00F31482">
        <w:rPr>
          <w:b/>
          <w:bCs/>
        </w:rPr>
        <w:t>Resumen Ejecutivo</w:t>
      </w:r>
    </w:p>
    <w:p w14:paraId="26C69A6A" w14:textId="77777777" w:rsidR="00F31482" w:rsidRPr="00F31482" w:rsidRDefault="00F31482" w:rsidP="00F31482">
      <w:r w:rsidRPr="00F31482">
        <w:t>El Banco Central de Chile (</w:t>
      </w:r>
      <w:proofErr w:type="spellStart"/>
      <w:r w:rsidRPr="00F31482">
        <w:t>BCCh</w:t>
      </w:r>
      <w:proofErr w:type="spellEnd"/>
      <w:r w:rsidRPr="00F31482">
        <w:t>) se constituye como una entidad técnica de carácter autónomo y rango constitucional, cuya misión fundamental es velar por la estabilidad de la moneda y la continuidad de los sistemas de pago. Su operatividad abarca desde la potestad exclusiva de emisión monetaria hasta la regulación del crédito y los cambios internacionales. Como actor central del mercado de valores, actúa tanto en calidad de emisor como de regulador, con el objetivo de mitigar riesgos sistémicos que puedan comprometer la integridad financiera del país.</w:t>
      </w:r>
    </w:p>
    <w:p w14:paraId="2C1E9CAA" w14:textId="77777777" w:rsidR="00F31482" w:rsidRPr="00F31482" w:rsidRDefault="00F31482" w:rsidP="00F31482">
      <w:r w:rsidRPr="00F31482">
        <w:pict w14:anchorId="18A36E00">
          <v:rect id="_x0000_i1061" style="width:0;height:1.5pt" o:hralign="center" o:hrstd="t" o:hr="t" fillcolor="#a0a0a0" stroked="f"/>
        </w:pict>
      </w:r>
    </w:p>
    <w:p w14:paraId="2D6CFC87" w14:textId="77777777" w:rsidR="00F31482" w:rsidRPr="00F31482" w:rsidRDefault="00F31482" w:rsidP="00F31482">
      <w:pPr>
        <w:rPr>
          <w:b/>
          <w:bCs/>
        </w:rPr>
      </w:pPr>
      <w:r w:rsidRPr="00F31482">
        <w:rPr>
          <w:b/>
          <w:bCs/>
        </w:rPr>
        <w:t>Contexto y Propósito del Documento</w:t>
      </w:r>
    </w:p>
    <w:p w14:paraId="4920878E" w14:textId="77777777" w:rsidR="00F31482" w:rsidRPr="00F31482" w:rsidRDefault="00F31482" w:rsidP="00F31482">
      <w:r w:rsidRPr="00F31482">
        <w:t>Este documento sistematiza la naturaleza jurídica, los objetivos estratégicos y las atribuciones operativas del Banco Central de Chile. El propósito es clarificar su rol dentro del ecosistema financiero, proporcionando una base técnica para entender cómo su mandato de estabilidad y su capacidad regulatoria influyen en la circulación del dinero y en el mercado de valores bajo un régimen de autonomía técnica y patrimonial.</w:t>
      </w:r>
    </w:p>
    <w:p w14:paraId="7FFD3B7B" w14:textId="77777777" w:rsidR="00F31482" w:rsidRPr="00F31482" w:rsidRDefault="00F31482" w:rsidP="00F31482">
      <w:r w:rsidRPr="00F31482">
        <w:pict w14:anchorId="50BFA594">
          <v:rect id="_x0000_i1062" style="width:0;height:1.5pt" o:hralign="center" o:hrstd="t" o:hr="t" fillcolor="#a0a0a0" stroked="f"/>
        </w:pict>
      </w:r>
    </w:p>
    <w:p w14:paraId="30DFE947" w14:textId="77777777" w:rsidR="00F31482" w:rsidRPr="00F31482" w:rsidRDefault="00F31482" w:rsidP="00F31482">
      <w:pPr>
        <w:rPr>
          <w:b/>
          <w:bCs/>
        </w:rPr>
      </w:pPr>
      <w:r w:rsidRPr="00F31482">
        <w:rPr>
          <w:b/>
          <w:bCs/>
        </w:rPr>
        <w:t>Desarrollo del Contenido</w:t>
      </w:r>
    </w:p>
    <w:p w14:paraId="19050B8F" w14:textId="77777777" w:rsidR="00F31482" w:rsidRPr="00F31482" w:rsidRDefault="00F31482" w:rsidP="00F31482">
      <w:pPr>
        <w:rPr>
          <w:b/>
          <w:bCs/>
        </w:rPr>
      </w:pPr>
      <w:r w:rsidRPr="00F31482">
        <w:rPr>
          <w:b/>
          <w:bCs/>
        </w:rPr>
        <w:t>Sección 1: Definición Institucional y Naturaleza Jurídica</w:t>
      </w:r>
    </w:p>
    <w:p w14:paraId="71991A5A" w14:textId="77777777" w:rsidR="00F31482" w:rsidRPr="00F31482" w:rsidRDefault="00F31482" w:rsidP="00F31482">
      <w:r w:rsidRPr="00F31482">
        <w:t>El Banco Central se define por una estructura que garantiza su independencia y permanencia en el tiempo:</w:t>
      </w:r>
    </w:p>
    <w:p w14:paraId="1994F1BF" w14:textId="77777777" w:rsidR="00F31482" w:rsidRPr="00F31482" w:rsidRDefault="00F31482" w:rsidP="00F31482">
      <w:pPr>
        <w:numPr>
          <w:ilvl w:val="0"/>
          <w:numId w:val="1"/>
        </w:numPr>
      </w:pPr>
      <w:r w:rsidRPr="00F31482">
        <w:rPr>
          <w:b/>
          <w:bCs/>
        </w:rPr>
        <w:t>Autonomía Técnica:</w:t>
      </w:r>
      <w:r w:rsidRPr="00F31482">
        <w:t xml:space="preserve"> Organismo con rango constitucional y personalidad jurídica propia.</w:t>
      </w:r>
    </w:p>
    <w:p w14:paraId="020AFA64" w14:textId="77777777" w:rsidR="00F31482" w:rsidRPr="00F31482" w:rsidRDefault="00F31482" w:rsidP="00F31482">
      <w:pPr>
        <w:numPr>
          <w:ilvl w:val="0"/>
          <w:numId w:val="1"/>
        </w:numPr>
      </w:pPr>
      <w:r w:rsidRPr="00F31482">
        <w:rPr>
          <w:b/>
          <w:bCs/>
        </w:rPr>
        <w:t>Patrimonio Propio:</w:t>
      </w:r>
      <w:r w:rsidRPr="00F31482">
        <w:t xml:space="preserve"> Cuenta con recursos independientes para el ejercicio de sus funciones.</w:t>
      </w:r>
    </w:p>
    <w:p w14:paraId="7A34852C" w14:textId="77777777" w:rsidR="00F31482" w:rsidRPr="00F31482" w:rsidRDefault="00F31482" w:rsidP="00F31482">
      <w:pPr>
        <w:numPr>
          <w:ilvl w:val="0"/>
          <w:numId w:val="1"/>
        </w:numPr>
      </w:pPr>
      <w:r w:rsidRPr="00F31482">
        <w:rPr>
          <w:b/>
          <w:bCs/>
        </w:rPr>
        <w:t>Duración Indefinida:</w:t>
      </w:r>
      <w:r w:rsidRPr="00F31482">
        <w:t xml:space="preserve"> Su existencia no está sujeta a plazos temporales, asegurando la continuidad de la política monetaria.</w:t>
      </w:r>
    </w:p>
    <w:p w14:paraId="4BE5E7B1" w14:textId="77777777" w:rsidR="00F31482" w:rsidRPr="00F31482" w:rsidRDefault="00F31482" w:rsidP="00F31482">
      <w:pPr>
        <w:rPr>
          <w:b/>
          <w:bCs/>
        </w:rPr>
      </w:pPr>
      <w:r w:rsidRPr="00F31482">
        <w:rPr>
          <w:b/>
          <w:bCs/>
        </w:rPr>
        <w:t>Sección 2: Objetivos Estratégicos y Mandato Legal</w:t>
      </w:r>
    </w:p>
    <w:p w14:paraId="4DF641B3" w14:textId="77777777" w:rsidR="00F31482" w:rsidRPr="00F31482" w:rsidRDefault="00F31482" w:rsidP="00F31482">
      <w:r w:rsidRPr="00F31482">
        <w:t>El quehacer del Banco está guiado por un mandato doble orientado a la estabilidad macroeconómica:</w:t>
      </w:r>
    </w:p>
    <w:p w14:paraId="7B43460B" w14:textId="77777777" w:rsidR="00F31482" w:rsidRPr="00F31482" w:rsidRDefault="00F31482" w:rsidP="00F31482">
      <w:pPr>
        <w:numPr>
          <w:ilvl w:val="0"/>
          <w:numId w:val="2"/>
        </w:numPr>
      </w:pPr>
      <w:r w:rsidRPr="00F31482">
        <w:rPr>
          <w:b/>
          <w:bCs/>
        </w:rPr>
        <w:lastRenderedPageBreak/>
        <w:t>Estabilidad de la Moneda:</w:t>
      </w:r>
      <w:r w:rsidRPr="00F31482">
        <w:t xml:space="preserve"> Velar por que el valor de la moneda se mantenga en el tiempo.</w:t>
      </w:r>
    </w:p>
    <w:p w14:paraId="5EE301EA" w14:textId="77777777" w:rsidR="00F31482" w:rsidRPr="00F31482" w:rsidRDefault="00F31482" w:rsidP="00F31482">
      <w:pPr>
        <w:numPr>
          <w:ilvl w:val="0"/>
          <w:numId w:val="2"/>
        </w:numPr>
      </w:pPr>
      <w:r w:rsidRPr="00F31482">
        <w:rPr>
          <w:b/>
          <w:bCs/>
        </w:rPr>
        <w:t>Funcionamiento de Pagos:</w:t>
      </w:r>
      <w:r w:rsidRPr="00F31482">
        <w:t xml:space="preserve"> Garantizar la normalidad de los flujos de pagos internos y externos, previniendo crisis de liquidez o de transferencia de fondos.</w:t>
      </w:r>
    </w:p>
    <w:p w14:paraId="45CD59D4" w14:textId="77777777" w:rsidR="00F31482" w:rsidRPr="00F31482" w:rsidRDefault="00F31482" w:rsidP="00F31482">
      <w:pPr>
        <w:rPr>
          <w:b/>
          <w:bCs/>
        </w:rPr>
      </w:pPr>
      <w:r w:rsidRPr="00F31482">
        <w:rPr>
          <w:b/>
          <w:bCs/>
        </w:rPr>
        <w:t>Sección 3: Funciones Reguladoras y Operativas</w:t>
      </w:r>
    </w:p>
    <w:p w14:paraId="71FC0277" w14:textId="77777777" w:rsidR="00F31482" w:rsidRPr="00F31482" w:rsidRDefault="00F31482" w:rsidP="00F31482">
      <w:r w:rsidRPr="00F31482">
        <w:t>El Banco Central posee facultades exclusivas y compartidas que impactan directamente en la economía real y financiera:</w:t>
      </w:r>
    </w:p>
    <w:p w14:paraId="6BF77102" w14:textId="77777777" w:rsidR="00F31482" w:rsidRPr="00F31482" w:rsidRDefault="00F31482" w:rsidP="00F31482">
      <w:pPr>
        <w:numPr>
          <w:ilvl w:val="0"/>
          <w:numId w:val="3"/>
        </w:numPr>
      </w:pPr>
      <w:r w:rsidRPr="00F31482">
        <w:rPr>
          <w:b/>
          <w:bCs/>
        </w:rPr>
        <w:t>Potestad de Emisión:</w:t>
      </w:r>
      <w:r w:rsidRPr="00F31482">
        <w:t xml:space="preserve"> Facultad exclusiva para la emisión de billetes y la acuñación de monedas.</w:t>
      </w:r>
    </w:p>
    <w:p w14:paraId="0EB75B95" w14:textId="77777777" w:rsidR="00F31482" w:rsidRPr="00F31482" w:rsidRDefault="00F31482" w:rsidP="00F31482">
      <w:pPr>
        <w:numPr>
          <w:ilvl w:val="0"/>
          <w:numId w:val="3"/>
        </w:numPr>
      </w:pPr>
      <w:r w:rsidRPr="00F31482">
        <w:rPr>
          <w:b/>
          <w:bCs/>
        </w:rPr>
        <w:t>Regulación Monetaria y Crediticia:</w:t>
      </w:r>
      <w:r w:rsidRPr="00F31482">
        <w:t xml:space="preserve"> Controla la cantidad de dinero en circulación y el volumen de crédito disponible.</w:t>
      </w:r>
    </w:p>
    <w:p w14:paraId="2B410E5D" w14:textId="77777777" w:rsidR="00F31482" w:rsidRPr="00F31482" w:rsidRDefault="00F31482" w:rsidP="00F31482">
      <w:pPr>
        <w:numPr>
          <w:ilvl w:val="0"/>
          <w:numId w:val="3"/>
        </w:numPr>
      </w:pPr>
      <w:r w:rsidRPr="00F31482">
        <w:rPr>
          <w:b/>
          <w:bCs/>
        </w:rPr>
        <w:t>Gestión de Cambios Internacionales:</w:t>
      </w:r>
      <w:r w:rsidRPr="00F31482">
        <w:t xml:space="preserve"> Ejecuta operaciones y dicta normas que regulan las transacciones de divisas.</w:t>
      </w:r>
    </w:p>
    <w:p w14:paraId="79D0D834" w14:textId="77777777" w:rsidR="00F31482" w:rsidRPr="00F31482" w:rsidRDefault="00F31482" w:rsidP="00F31482">
      <w:pPr>
        <w:numPr>
          <w:ilvl w:val="0"/>
          <w:numId w:val="3"/>
        </w:numPr>
      </w:pPr>
      <w:r w:rsidRPr="00F31482">
        <w:rPr>
          <w:b/>
          <w:bCs/>
        </w:rPr>
        <w:t>Rol en el Mercado de Valores:</w:t>
      </w:r>
      <w:r w:rsidRPr="00F31482">
        <w:t xml:space="preserve"> Participa activamente como emisor de valores y ejerce funciones de regulación y fiscalización técnica sobre los agentes del mercado.</w:t>
      </w:r>
    </w:p>
    <w:p w14:paraId="5C033B99" w14:textId="77777777" w:rsidR="00F31482" w:rsidRPr="00F31482" w:rsidRDefault="00F31482" w:rsidP="00F31482">
      <w:pPr>
        <w:rPr>
          <w:b/>
          <w:bCs/>
        </w:rPr>
      </w:pPr>
      <w:r w:rsidRPr="00F31482">
        <w:rPr>
          <w:b/>
          <w:bCs/>
        </w:rPr>
        <w:t>Sección 4: Estructura de Gobierno y Administración</w:t>
      </w:r>
    </w:p>
    <w:p w14:paraId="03124E67" w14:textId="77777777" w:rsidR="00F31482" w:rsidRPr="00F31482" w:rsidRDefault="00F31482" w:rsidP="00F31482">
      <w:r w:rsidRPr="00F31482">
        <w:t>La dirección superior del Banco recae en una instancia colegiada:</w:t>
      </w:r>
    </w:p>
    <w:p w14:paraId="70567585" w14:textId="77777777" w:rsidR="00F31482" w:rsidRPr="00F31482" w:rsidRDefault="00F31482" w:rsidP="00F31482">
      <w:pPr>
        <w:numPr>
          <w:ilvl w:val="0"/>
          <w:numId w:val="4"/>
        </w:numPr>
      </w:pPr>
      <w:r w:rsidRPr="00F31482">
        <w:rPr>
          <w:b/>
          <w:bCs/>
        </w:rPr>
        <w:t>Consejo del Banco Central:</w:t>
      </w:r>
      <w:r w:rsidRPr="00F31482">
        <w:t xml:space="preserve"> Órgano constituido por cinco consejeros.</w:t>
      </w:r>
    </w:p>
    <w:p w14:paraId="3FE760B0" w14:textId="77777777" w:rsidR="00F31482" w:rsidRPr="00F31482" w:rsidRDefault="00F31482" w:rsidP="00F31482">
      <w:pPr>
        <w:numPr>
          <w:ilvl w:val="0"/>
          <w:numId w:val="4"/>
        </w:numPr>
      </w:pPr>
      <w:r w:rsidRPr="00F31482">
        <w:rPr>
          <w:b/>
          <w:bCs/>
        </w:rPr>
        <w:t>Atribuciones:</w:t>
      </w:r>
      <w:r w:rsidRPr="00F31482">
        <w:t xml:space="preserve"> Este consejo es el encargado de ejercer las funciones y atribuciones que la ley encomienda a la institución, definiendo las políticas monetarias y financieras del país.</w:t>
      </w:r>
    </w:p>
    <w:p w14:paraId="2A750399" w14:textId="77777777" w:rsidR="00F31482" w:rsidRPr="00F31482" w:rsidRDefault="00F31482" w:rsidP="00F31482">
      <w:r w:rsidRPr="00F31482">
        <w:pict w14:anchorId="634005B7">
          <v:rect id="_x0000_i1063" style="width:0;height:1.5pt" o:hralign="center" o:hrstd="t" o:hr="t" fillcolor="#a0a0a0" stroked="f"/>
        </w:pict>
      </w:r>
    </w:p>
    <w:p w14:paraId="6617DF3E" w14:textId="77777777" w:rsidR="00F31482" w:rsidRPr="00F31482" w:rsidRDefault="00F31482" w:rsidP="00F31482">
      <w:pPr>
        <w:rPr>
          <w:b/>
          <w:bCs/>
        </w:rPr>
      </w:pPr>
      <w:r w:rsidRPr="00F31482">
        <w:rPr>
          <w:b/>
          <w:bCs/>
        </w:rPr>
        <w:t>Conceptos Financieros Clave</w:t>
      </w:r>
    </w:p>
    <w:p w14:paraId="3CDC457C" w14:textId="77777777" w:rsidR="00F31482" w:rsidRPr="00F31482" w:rsidRDefault="00F31482" w:rsidP="00F31482">
      <w:pPr>
        <w:numPr>
          <w:ilvl w:val="0"/>
          <w:numId w:val="5"/>
        </w:numPr>
      </w:pPr>
      <w:r w:rsidRPr="00F31482">
        <w:rPr>
          <w:b/>
          <w:bCs/>
        </w:rPr>
        <w:t>Autonomía Constitucional:</w:t>
      </w:r>
      <w:r w:rsidRPr="00F31482">
        <w:t xml:space="preserve"> Protección legal que impide la intervención de otros poderes del Estado en las decisiones técnicas del Banco.</w:t>
      </w:r>
    </w:p>
    <w:p w14:paraId="69627877" w14:textId="77777777" w:rsidR="00F31482" w:rsidRPr="00F31482" w:rsidRDefault="00F31482" w:rsidP="00F31482">
      <w:pPr>
        <w:numPr>
          <w:ilvl w:val="0"/>
          <w:numId w:val="5"/>
        </w:numPr>
      </w:pPr>
      <w:r w:rsidRPr="00F31482">
        <w:rPr>
          <w:b/>
          <w:bCs/>
        </w:rPr>
        <w:t>Potestad de Emisión:</w:t>
      </w:r>
      <w:r w:rsidRPr="00F31482">
        <w:t xml:space="preserve"> Monopolio legal sobre la creación de la base monetaria (efectivo).</w:t>
      </w:r>
    </w:p>
    <w:p w14:paraId="01B465F2" w14:textId="77777777" w:rsidR="00F31482" w:rsidRPr="00F31482" w:rsidRDefault="00F31482" w:rsidP="00F31482">
      <w:pPr>
        <w:numPr>
          <w:ilvl w:val="0"/>
          <w:numId w:val="5"/>
        </w:numPr>
      </w:pPr>
      <w:r w:rsidRPr="00F31482">
        <w:rPr>
          <w:b/>
          <w:bCs/>
        </w:rPr>
        <w:t>Riesgo Sistémico:</w:t>
      </w:r>
      <w:r w:rsidRPr="00F31482">
        <w:t xml:space="preserve"> Posibilidad de que eventos afecten el "normal funcionamiento de los pagos", lo cual el Banco debe prevenir oportunamente.</w:t>
      </w:r>
    </w:p>
    <w:p w14:paraId="00B799EF" w14:textId="77777777" w:rsidR="00F31482" w:rsidRPr="00F31482" w:rsidRDefault="00F31482" w:rsidP="00F31482">
      <w:pPr>
        <w:numPr>
          <w:ilvl w:val="0"/>
          <w:numId w:val="5"/>
        </w:numPr>
      </w:pPr>
      <w:r w:rsidRPr="00F31482">
        <w:rPr>
          <w:b/>
          <w:bCs/>
        </w:rPr>
        <w:lastRenderedPageBreak/>
        <w:t>Normas de Cambios Internacionales:</w:t>
      </w:r>
      <w:r w:rsidRPr="00F31482">
        <w:t xml:space="preserve"> Reglas que rigen la entrada y salida de divisas y las operaciones de moneda extranjera.</w:t>
      </w:r>
    </w:p>
    <w:p w14:paraId="1E990EF7" w14:textId="77777777" w:rsidR="00F31482" w:rsidRPr="00F31482" w:rsidRDefault="00F31482" w:rsidP="00F31482">
      <w:r w:rsidRPr="00F31482">
        <w:pict w14:anchorId="2A282D5A">
          <v:rect id="_x0000_i1064" style="width:0;height:1.5pt" o:hralign="center" o:hrstd="t" o:hr="t" fillcolor="#a0a0a0" stroked="f"/>
        </w:pict>
      </w:r>
    </w:p>
    <w:p w14:paraId="70DFD97C" w14:textId="77777777" w:rsidR="00F31482" w:rsidRPr="00F31482" w:rsidRDefault="00F31482" w:rsidP="00F31482">
      <w:pPr>
        <w:rPr>
          <w:b/>
          <w:bCs/>
        </w:rPr>
      </w:pPr>
      <w:r w:rsidRPr="00F31482">
        <w:rPr>
          <w:b/>
          <w:bCs/>
        </w:rPr>
        <w:t>Conclusiones / Ideas Principales</w:t>
      </w:r>
    </w:p>
    <w:p w14:paraId="56A76D35" w14:textId="77777777" w:rsidR="00F31482" w:rsidRPr="00F31482" w:rsidRDefault="00F31482" w:rsidP="00F31482">
      <w:pPr>
        <w:numPr>
          <w:ilvl w:val="0"/>
          <w:numId w:val="6"/>
        </w:numPr>
      </w:pPr>
      <w:r w:rsidRPr="00F31482">
        <w:t xml:space="preserve">El Banco Central es el </w:t>
      </w:r>
      <w:r w:rsidRPr="00F31482">
        <w:rPr>
          <w:b/>
          <w:bCs/>
        </w:rPr>
        <w:t>pilar de estabilidad</w:t>
      </w:r>
      <w:r w:rsidRPr="00F31482">
        <w:t xml:space="preserve"> del sistema financiero, actuando como garante de que el sistema de pagos no se interrumpa.</w:t>
      </w:r>
    </w:p>
    <w:p w14:paraId="701575EC" w14:textId="77777777" w:rsidR="00F31482" w:rsidRPr="00F31482" w:rsidRDefault="00F31482" w:rsidP="00F31482">
      <w:pPr>
        <w:numPr>
          <w:ilvl w:val="0"/>
          <w:numId w:val="6"/>
        </w:numPr>
      </w:pPr>
      <w:r w:rsidRPr="00F31482">
        <w:t xml:space="preserve">Su carácter </w:t>
      </w:r>
      <w:r w:rsidRPr="00F31482">
        <w:rPr>
          <w:b/>
          <w:bCs/>
        </w:rPr>
        <w:t>técnico y autónomo</w:t>
      </w:r>
      <w:r w:rsidRPr="00F31482">
        <w:t xml:space="preserve"> es indispensable para la toma de decisiones basadas en indicadores económicos y no en presiones políticas.</w:t>
      </w:r>
    </w:p>
    <w:p w14:paraId="0259DF9D" w14:textId="77777777" w:rsidR="00F31482" w:rsidRPr="00F31482" w:rsidRDefault="00F31482" w:rsidP="00F31482">
      <w:pPr>
        <w:numPr>
          <w:ilvl w:val="0"/>
          <w:numId w:val="6"/>
        </w:numPr>
      </w:pPr>
      <w:r w:rsidRPr="00F31482">
        <w:t xml:space="preserve">La combinación de sus roles como </w:t>
      </w:r>
      <w:r w:rsidRPr="00F31482">
        <w:rPr>
          <w:b/>
          <w:bCs/>
        </w:rPr>
        <w:t>emisor y regulador</w:t>
      </w:r>
      <w:r w:rsidRPr="00F31482">
        <w:t xml:space="preserve"> le permite tener un control integral sobre la liquidez del mercado.</w:t>
      </w:r>
    </w:p>
    <w:p w14:paraId="4CE44DB2" w14:textId="77777777" w:rsidR="00F31482" w:rsidRPr="00F31482" w:rsidRDefault="00F31482" w:rsidP="00F31482">
      <w:r w:rsidRPr="00F31482">
        <w:pict w14:anchorId="62609070">
          <v:rect id="_x0000_i1065" style="width:0;height:1.5pt" o:hralign="center" o:hrstd="t" o:hr="t" fillcolor="#a0a0a0" stroked="f"/>
        </w:pict>
      </w:r>
    </w:p>
    <w:p w14:paraId="6D858054" w14:textId="77777777" w:rsidR="00F31482" w:rsidRPr="00F31482" w:rsidRDefault="00F31482" w:rsidP="00F31482">
      <w:pPr>
        <w:rPr>
          <w:b/>
          <w:bCs/>
        </w:rPr>
      </w:pPr>
      <w:r w:rsidRPr="00F31482">
        <w:rPr>
          <w:b/>
          <w:bCs/>
        </w:rPr>
        <w:t>Supuestos, Riesgos o Consideraciones Relevantes</w:t>
      </w:r>
    </w:p>
    <w:p w14:paraId="3598FF1E" w14:textId="77777777" w:rsidR="00F31482" w:rsidRPr="00F31482" w:rsidRDefault="00F31482" w:rsidP="00F31482">
      <w:pPr>
        <w:numPr>
          <w:ilvl w:val="0"/>
          <w:numId w:val="7"/>
        </w:numPr>
      </w:pPr>
      <w:r w:rsidRPr="00F31482">
        <w:rPr>
          <w:b/>
          <w:bCs/>
        </w:rPr>
        <w:t>Gestión de Crisis:</w:t>
      </w:r>
      <w:r w:rsidRPr="00F31482">
        <w:t xml:space="preserve"> Se asume que el Banco tiene la capacidad de "actuar oportunamente" ante situaciones de riesgo, lo que implica un monitoreo constante de los mercados internos y externos.</w:t>
      </w:r>
    </w:p>
    <w:p w14:paraId="497FEB41" w14:textId="77777777" w:rsidR="00F31482" w:rsidRPr="00F31482" w:rsidRDefault="00F31482" w:rsidP="00F31482">
      <w:pPr>
        <w:numPr>
          <w:ilvl w:val="0"/>
          <w:numId w:val="7"/>
        </w:numPr>
      </w:pPr>
      <w:r w:rsidRPr="00F31482">
        <w:rPr>
          <w:b/>
          <w:bCs/>
        </w:rPr>
        <w:t>Independencia Patrimonial:</w:t>
      </w:r>
      <w:r w:rsidRPr="00F31482">
        <w:t xml:space="preserve"> El ejercicio de sus funciones depende de la integridad de su patrimonio propio para ejecutar operaciones de mercado abierto o intervenciones cambiarias.</w:t>
      </w:r>
    </w:p>
    <w:p w14:paraId="4B70EFC9" w14:textId="77777777" w:rsidR="00F31482" w:rsidRPr="00F31482" w:rsidRDefault="00F31482" w:rsidP="00F31482">
      <w:r w:rsidRPr="00F31482">
        <w:pict w14:anchorId="2D92021D">
          <v:rect id="_x0000_i1066" style="width:0;height:1.5pt" o:hralign="center" o:hrstd="t" o:hr="t" fillcolor="#a0a0a0" stroked="f"/>
        </w:pict>
      </w:r>
    </w:p>
    <w:p w14:paraId="46ABBD53" w14:textId="77777777" w:rsidR="00F31482" w:rsidRPr="00F31482" w:rsidRDefault="00F31482" w:rsidP="00F31482">
      <w:pPr>
        <w:rPr>
          <w:b/>
          <w:bCs/>
        </w:rPr>
      </w:pPr>
      <w:proofErr w:type="gramStart"/>
      <w:r w:rsidRPr="00F31482">
        <w:rPr>
          <w:b/>
          <w:bCs/>
        </w:rPr>
        <w:t>Puntos a Aclarar</w:t>
      </w:r>
      <w:proofErr w:type="gramEnd"/>
      <w:r w:rsidRPr="00F31482">
        <w:rPr>
          <w:b/>
          <w:bCs/>
        </w:rPr>
        <w:t xml:space="preserve"> o Información Faltante</w:t>
      </w:r>
    </w:p>
    <w:p w14:paraId="458AE1AF" w14:textId="77777777" w:rsidR="00F31482" w:rsidRPr="00F31482" w:rsidRDefault="00F31482" w:rsidP="00F31482">
      <w:pPr>
        <w:numPr>
          <w:ilvl w:val="0"/>
          <w:numId w:val="8"/>
        </w:numPr>
      </w:pPr>
      <w:r w:rsidRPr="00F31482">
        <w:rPr>
          <w:b/>
          <w:bCs/>
        </w:rPr>
        <w:t>Instrumentos de Política:</w:t>
      </w:r>
      <w:r w:rsidRPr="00F31482">
        <w:t xml:space="preserve"> El texto menciona que regula la cantidad de dinero, pero no especifica los instrumentos (ej. Tasa de Política Monetaria - TPM, encaje bancario o compra de activos).</w:t>
      </w:r>
    </w:p>
    <w:p w14:paraId="7C00C9D1" w14:textId="77777777" w:rsidR="00F31482" w:rsidRPr="00F31482" w:rsidRDefault="00F31482" w:rsidP="00F31482">
      <w:pPr>
        <w:numPr>
          <w:ilvl w:val="0"/>
          <w:numId w:val="8"/>
        </w:numPr>
      </w:pPr>
      <w:r w:rsidRPr="00F31482">
        <w:rPr>
          <w:b/>
          <w:bCs/>
        </w:rPr>
        <w:t>Mecanismos de Fiscalización:</w:t>
      </w:r>
      <w:r w:rsidRPr="00F31482">
        <w:t xml:space="preserve"> Se señala que es "regulador y fiscalizador" en el mercado de valores, pero no se detallan las sanciones o los procesos de auditoría específicos que aplica.</w:t>
      </w:r>
    </w:p>
    <w:p w14:paraId="454B4F8F" w14:textId="77777777" w:rsidR="00F31482" w:rsidRPr="00F31482" w:rsidRDefault="00F31482" w:rsidP="00F31482">
      <w:pPr>
        <w:numPr>
          <w:ilvl w:val="0"/>
          <w:numId w:val="8"/>
        </w:numPr>
      </w:pPr>
      <w:r w:rsidRPr="00F31482">
        <w:rPr>
          <w:b/>
          <w:bCs/>
        </w:rPr>
        <w:t>Interacción con la CMF:</w:t>
      </w:r>
      <w:r w:rsidRPr="00F31482">
        <w:t xml:space="preserve"> No se aclara cómo se delimitan o coordinan las funciones de fiscalización entre el Banco Central y la Comisión para el Mercado Financiero (CMF) en áreas de competencia compartida.</w:t>
      </w:r>
    </w:p>
    <w:p w14:paraId="6E977BAF"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A5312"/>
    <w:multiLevelType w:val="multilevel"/>
    <w:tmpl w:val="4270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D2A12"/>
    <w:multiLevelType w:val="multilevel"/>
    <w:tmpl w:val="7AC2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96B0C"/>
    <w:multiLevelType w:val="multilevel"/>
    <w:tmpl w:val="D25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F2FA2"/>
    <w:multiLevelType w:val="multilevel"/>
    <w:tmpl w:val="51DCF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02AAD"/>
    <w:multiLevelType w:val="multilevel"/>
    <w:tmpl w:val="B31A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57D91"/>
    <w:multiLevelType w:val="multilevel"/>
    <w:tmpl w:val="FAA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637B3"/>
    <w:multiLevelType w:val="multilevel"/>
    <w:tmpl w:val="0C02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06FC0"/>
    <w:multiLevelType w:val="multilevel"/>
    <w:tmpl w:val="CEC0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371111">
    <w:abstractNumId w:val="5"/>
  </w:num>
  <w:num w:numId="2" w16cid:durableId="1805925206">
    <w:abstractNumId w:val="3"/>
  </w:num>
  <w:num w:numId="3" w16cid:durableId="343943958">
    <w:abstractNumId w:val="0"/>
  </w:num>
  <w:num w:numId="4" w16cid:durableId="1220704192">
    <w:abstractNumId w:val="1"/>
  </w:num>
  <w:num w:numId="5" w16cid:durableId="1052538178">
    <w:abstractNumId w:val="4"/>
  </w:num>
  <w:num w:numId="6" w16cid:durableId="900335061">
    <w:abstractNumId w:val="2"/>
  </w:num>
  <w:num w:numId="7" w16cid:durableId="585500894">
    <w:abstractNumId w:val="6"/>
  </w:num>
  <w:num w:numId="8" w16cid:durableId="1594896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70"/>
    <w:rsid w:val="00071C90"/>
    <w:rsid w:val="000D1EDE"/>
    <w:rsid w:val="00320D26"/>
    <w:rsid w:val="00414AB1"/>
    <w:rsid w:val="006473F9"/>
    <w:rsid w:val="00703970"/>
    <w:rsid w:val="00736F93"/>
    <w:rsid w:val="00BA7757"/>
    <w:rsid w:val="00F3148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B4D2"/>
  <w15:chartTrackingRefBased/>
  <w15:docId w15:val="{8660C459-0D24-4F1F-895D-38BF7D92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3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3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39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39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39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39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39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39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39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39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39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39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39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39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39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39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39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3970"/>
    <w:rPr>
      <w:rFonts w:eastAsiaTheme="majorEastAsia" w:cstheme="majorBidi"/>
      <w:color w:val="272727" w:themeColor="text1" w:themeTint="D8"/>
    </w:rPr>
  </w:style>
  <w:style w:type="paragraph" w:styleId="Ttulo">
    <w:name w:val="Title"/>
    <w:basedOn w:val="Normal"/>
    <w:next w:val="Normal"/>
    <w:link w:val="TtuloCar"/>
    <w:uiPriority w:val="10"/>
    <w:qFormat/>
    <w:rsid w:val="00703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39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39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39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3970"/>
    <w:pPr>
      <w:spacing w:before="160"/>
      <w:jc w:val="center"/>
    </w:pPr>
    <w:rPr>
      <w:i/>
      <w:iCs/>
      <w:color w:val="404040" w:themeColor="text1" w:themeTint="BF"/>
    </w:rPr>
  </w:style>
  <w:style w:type="character" w:customStyle="1" w:styleId="CitaCar">
    <w:name w:val="Cita Car"/>
    <w:basedOn w:val="Fuentedeprrafopredeter"/>
    <w:link w:val="Cita"/>
    <w:uiPriority w:val="29"/>
    <w:rsid w:val="00703970"/>
    <w:rPr>
      <w:i/>
      <w:iCs/>
      <w:color w:val="404040" w:themeColor="text1" w:themeTint="BF"/>
    </w:rPr>
  </w:style>
  <w:style w:type="paragraph" w:styleId="Prrafodelista">
    <w:name w:val="List Paragraph"/>
    <w:basedOn w:val="Normal"/>
    <w:uiPriority w:val="34"/>
    <w:qFormat/>
    <w:rsid w:val="00703970"/>
    <w:pPr>
      <w:ind w:left="720"/>
      <w:contextualSpacing/>
    </w:pPr>
  </w:style>
  <w:style w:type="character" w:styleId="nfasisintenso">
    <w:name w:val="Intense Emphasis"/>
    <w:basedOn w:val="Fuentedeprrafopredeter"/>
    <w:uiPriority w:val="21"/>
    <w:qFormat/>
    <w:rsid w:val="00703970"/>
    <w:rPr>
      <w:i/>
      <w:iCs/>
      <w:color w:val="0F4761" w:themeColor="accent1" w:themeShade="BF"/>
    </w:rPr>
  </w:style>
  <w:style w:type="paragraph" w:styleId="Citadestacada">
    <w:name w:val="Intense Quote"/>
    <w:basedOn w:val="Normal"/>
    <w:next w:val="Normal"/>
    <w:link w:val="CitadestacadaCar"/>
    <w:uiPriority w:val="30"/>
    <w:qFormat/>
    <w:rsid w:val="00703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3970"/>
    <w:rPr>
      <w:i/>
      <w:iCs/>
      <w:color w:val="0F4761" w:themeColor="accent1" w:themeShade="BF"/>
    </w:rPr>
  </w:style>
  <w:style w:type="character" w:styleId="Referenciaintensa">
    <w:name w:val="Intense Reference"/>
    <w:basedOn w:val="Fuentedeprrafopredeter"/>
    <w:uiPriority w:val="32"/>
    <w:qFormat/>
    <w:rsid w:val="00703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768</Words>
  <Characters>4226</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2026-05-06T22:25:00Z</dcterms:created>
  <dcterms:modified xsi:type="dcterms:W3CDTF">2026-05-06T22:26:00Z</dcterms:modified>
</cp:coreProperties>
</file>