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0265" w14:textId="77777777" w:rsidR="004F2C8C" w:rsidRPr="004F2C8C" w:rsidRDefault="004F2C8C" w:rsidP="004F2C8C">
      <w:pPr>
        <w:rPr>
          <w:b/>
          <w:bCs/>
        </w:rPr>
      </w:pPr>
      <w:r w:rsidRPr="004F2C8C">
        <w:rPr>
          <w:b/>
          <w:bCs/>
        </w:rPr>
        <w:t>Naturaleza, Operación y Regulación de las Bolsas de Valores</w:t>
      </w:r>
    </w:p>
    <w:p w14:paraId="1EA0DA20" w14:textId="77777777" w:rsidR="004F2C8C" w:rsidRPr="004F2C8C" w:rsidRDefault="004F2C8C" w:rsidP="004F2C8C">
      <w:pPr>
        <w:rPr>
          <w:b/>
          <w:bCs/>
        </w:rPr>
      </w:pPr>
      <w:r w:rsidRPr="004F2C8C">
        <w:rPr>
          <w:b/>
          <w:bCs/>
        </w:rPr>
        <w:t>Resumen ejecutivo</w:t>
      </w:r>
    </w:p>
    <w:p w14:paraId="1BDCB3CD" w14:textId="77777777" w:rsidR="004F2C8C" w:rsidRPr="004F2C8C" w:rsidRDefault="004F2C8C" w:rsidP="004F2C8C">
      <w:r w:rsidRPr="004F2C8C">
        <w:t>Las Bolsas de Valores son entidades fundamentales del mercado de capitales que proveen la infraestructura y los sistemas necesarios para la transacción de valores mediante subastas públicas. Actúan como centros de encuentro donde los corredores de bolsa, en representación de sus clientes, transan instrumentos de deuda, capitalización y otros. En Chile, operan bajo un modelo de autorregulación y estricta supervisión de la CMF, garantizando la transparencia, la libre determinación de precios y la protección de la fe pública mediante requisitos mínimos de capital y membresía.</w:t>
      </w:r>
    </w:p>
    <w:p w14:paraId="7CEA7F75" w14:textId="77777777" w:rsidR="004F2C8C" w:rsidRPr="004F2C8C" w:rsidRDefault="004F2C8C" w:rsidP="004F2C8C">
      <w:r w:rsidRPr="004F2C8C">
        <w:pict w14:anchorId="4E0714A7">
          <v:rect id="_x0000_i1049" style="width:0;height:1.5pt" o:hralign="center" o:hrstd="t" o:hr="t" fillcolor="#a0a0a0" stroked="f"/>
        </w:pict>
      </w:r>
    </w:p>
    <w:p w14:paraId="4B28B05A" w14:textId="77777777" w:rsidR="004F2C8C" w:rsidRPr="004F2C8C" w:rsidRDefault="004F2C8C" w:rsidP="004F2C8C">
      <w:pPr>
        <w:rPr>
          <w:b/>
          <w:bCs/>
        </w:rPr>
      </w:pPr>
      <w:r w:rsidRPr="004F2C8C">
        <w:rPr>
          <w:b/>
          <w:bCs/>
        </w:rPr>
        <w:t>Contexto / Antecedentes</w:t>
      </w:r>
    </w:p>
    <w:p w14:paraId="7302487B" w14:textId="77777777" w:rsidR="004F2C8C" w:rsidRPr="004F2C8C" w:rsidRDefault="004F2C8C" w:rsidP="004F2C8C">
      <w:r w:rsidRPr="004F2C8C">
        <w:t xml:space="preserve">En el ecosistema financiero, las bolsas facilitan el flujo entre el ahorro y la inversión. Su existencia permite un mercado secundario líquido y organizado, donde la valoración de los activos es de conocimiento público. En Chile, este rol es desempeñado principalmente por la Bolsa de Comercio de Santiago y la Bolsa Electrónica de Chile, ambas regidas por el Título VII de la </w:t>
      </w:r>
      <w:r w:rsidRPr="004F2C8C">
        <w:rPr>
          <w:b/>
          <w:bCs/>
        </w:rPr>
        <w:t xml:space="preserve">Ley </w:t>
      </w:r>
      <w:proofErr w:type="spellStart"/>
      <w:r w:rsidRPr="004F2C8C">
        <w:rPr>
          <w:b/>
          <w:bCs/>
        </w:rPr>
        <w:t>N°</w:t>
      </w:r>
      <w:proofErr w:type="spellEnd"/>
      <w:r w:rsidRPr="004F2C8C">
        <w:rPr>
          <w:b/>
          <w:bCs/>
        </w:rPr>
        <w:t xml:space="preserve"> 18.045 de Mercado de Valores</w:t>
      </w:r>
      <w:r w:rsidRPr="004F2C8C">
        <w:t>.</w:t>
      </w:r>
    </w:p>
    <w:p w14:paraId="39A38414" w14:textId="77777777" w:rsidR="004F2C8C" w:rsidRPr="004F2C8C" w:rsidRDefault="004F2C8C" w:rsidP="004F2C8C">
      <w:r w:rsidRPr="004F2C8C">
        <w:pict w14:anchorId="00B02051">
          <v:rect id="_x0000_i1050" style="width:0;height:1.5pt" o:hralign="center" o:hrstd="t" o:hr="t" fillcolor="#a0a0a0" stroked="f"/>
        </w:pict>
      </w:r>
    </w:p>
    <w:p w14:paraId="510ED499" w14:textId="77777777" w:rsidR="004F2C8C" w:rsidRPr="004F2C8C" w:rsidRDefault="004F2C8C" w:rsidP="004F2C8C">
      <w:pPr>
        <w:rPr>
          <w:b/>
          <w:bCs/>
        </w:rPr>
      </w:pPr>
      <w:r w:rsidRPr="004F2C8C">
        <w:rPr>
          <w:b/>
          <w:bCs/>
        </w:rPr>
        <w:t>Desarrollo del contenido</w:t>
      </w:r>
    </w:p>
    <w:p w14:paraId="40FEC98C" w14:textId="77777777" w:rsidR="004F2C8C" w:rsidRPr="004F2C8C" w:rsidRDefault="004F2C8C" w:rsidP="004F2C8C">
      <w:pPr>
        <w:rPr>
          <w:b/>
          <w:bCs/>
        </w:rPr>
      </w:pPr>
      <w:r w:rsidRPr="004F2C8C">
        <w:rPr>
          <w:b/>
          <w:bCs/>
        </w:rPr>
        <w:t>Sección 1: Funciones y Características Operativas</w:t>
      </w:r>
    </w:p>
    <w:p w14:paraId="0986E325" w14:textId="77777777" w:rsidR="004F2C8C" w:rsidRPr="004F2C8C" w:rsidRDefault="004F2C8C" w:rsidP="004F2C8C">
      <w:r w:rsidRPr="004F2C8C">
        <w:t>Las bolsas operan como el motor técnico de la intermediación bursátil:</w:t>
      </w:r>
    </w:p>
    <w:p w14:paraId="16C4A968" w14:textId="77777777" w:rsidR="004F2C8C" w:rsidRPr="004F2C8C" w:rsidRDefault="004F2C8C" w:rsidP="004F2C8C">
      <w:pPr>
        <w:numPr>
          <w:ilvl w:val="0"/>
          <w:numId w:val="1"/>
        </w:numPr>
      </w:pPr>
      <w:r w:rsidRPr="004F2C8C">
        <w:rPr>
          <w:b/>
          <w:bCs/>
        </w:rPr>
        <w:t>Mecanismos de Transacción:</w:t>
      </w:r>
      <w:r w:rsidRPr="004F2C8C">
        <w:t xml:space="preserve"> Realizan subastas públicas continuas para instrumentos de deuda, capitalización, intermediación financiera y monetarios.</w:t>
      </w:r>
    </w:p>
    <w:p w14:paraId="11A3BFA5" w14:textId="77777777" w:rsidR="004F2C8C" w:rsidRPr="004F2C8C" w:rsidRDefault="004F2C8C" w:rsidP="004F2C8C">
      <w:pPr>
        <w:numPr>
          <w:ilvl w:val="0"/>
          <w:numId w:val="1"/>
        </w:numPr>
      </w:pPr>
      <w:r w:rsidRPr="004F2C8C">
        <w:rPr>
          <w:b/>
          <w:bCs/>
        </w:rPr>
        <w:t>Infraestructura:</w:t>
      </w:r>
      <w:r w:rsidRPr="004F2C8C">
        <w:t xml:space="preserve"> Proveen el lugar (físico o virtual), horarios y sistemas necesarios para que los corredores ejecuten negociaciones eficazmente.</w:t>
      </w:r>
    </w:p>
    <w:p w14:paraId="51FBCDA5" w14:textId="77777777" w:rsidR="004F2C8C" w:rsidRPr="004F2C8C" w:rsidRDefault="004F2C8C" w:rsidP="004F2C8C">
      <w:pPr>
        <w:numPr>
          <w:ilvl w:val="0"/>
          <w:numId w:val="1"/>
        </w:numPr>
      </w:pPr>
      <w:r w:rsidRPr="004F2C8C">
        <w:rPr>
          <w:b/>
          <w:bCs/>
        </w:rPr>
        <w:t>Formación de Precios:</w:t>
      </w:r>
      <w:r w:rsidRPr="004F2C8C">
        <w:t xml:space="preserve"> Promueven la transparencia y la libre determinación de los precios de los valores.</w:t>
      </w:r>
    </w:p>
    <w:p w14:paraId="440D0F54" w14:textId="77777777" w:rsidR="004F2C8C" w:rsidRPr="004F2C8C" w:rsidRDefault="004F2C8C" w:rsidP="004F2C8C">
      <w:pPr>
        <w:numPr>
          <w:ilvl w:val="0"/>
          <w:numId w:val="1"/>
        </w:numPr>
      </w:pPr>
      <w:r w:rsidRPr="004F2C8C">
        <w:rPr>
          <w:b/>
          <w:bCs/>
        </w:rPr>
        <w:t>Colocación Primaria:</w:t>
      </w:r>
      <w:r w:rsidRPr="004F2C8C">
        <w:t xml:space="preserve"> Facilitan la primera emisión de acciones y bonos al mercado.</w:t>
      </w:r>
    </w:p>
    <w:p w14:paraId="4411E1EE" w14:textId="77777777" w:rsidR="004F2C8C" w:rsidRPr="004F2C8C" w:rsidRDefault="004F2C8C" w:rsidP="004F2C8C">
      <w:pPr>
        <w:numPr>
          <w:ilvl w:val="0"/>
          <w:numId w:val="1"/>
        </w:numPr>
      </w:pPr>
      <w:r w:rsidRPr="004F2C8C">
        <w:rPr>
          <w:b/>
          <w:bCs/>
        </w:rPr>
        <w:lastRenderedPageBreak/>
        <w:t>Exclusividad:</w:t>
      </w:r>
      <w:r w:rsidRPr="004F2C8C">
        <w:t xml:space="preserve"> Solo los corredores de bolsa autorizados pueden realizar transacciones dentro de estos recintos.</w:t>
      </w:r>
    </w:p>
    <w:p w14:paraId="7D154E2F" w14:textId="77777777" w:rsidR="004F2C8C" w:rsidRPr="004F2C8C" w:rsidRDefault="004F2C8C" w:rsidP="004F2C8C">
      <w:pPr>
        <w:rPr>
          <w:b/>
          <w:bCs/>
        </w:rPr>
      </w:pPr>
      <w:r w:rsidRPr="004F2C8C">
        <w:rPr>
          <w:b/>
          <w:bCs/>
        </w:rPr>
        <w:t>Sección 2: Marco Institucional y Autorregulación</w:t>
      </w:r>
    </w:p>
    <w:p w14:paraId="35656267" w14:textId="77777777" w:rsidR="004F2C8C" w:rsidRPr="004F2C8C" w:rsidRDefault="004F2C8C" w:rsidP="004F2C8C">
      <w:r w:rsidRPr="004F2C8C">
        <w:t>Más allá de la operación técnica, las bolsas poseen facultades normativas sobre sus miembros:</w:t>
      </w:r>
    </w:p>
    <w:p w14:paraId="0D7CD0AE" w14:textId="77777777" w:rsidR="004F2C8C" w:rsidRPr="004F2C8C" w:rsidRDefault="004F2C8C" w:rsidP="004F2C8C">
      <w:pPr>
        <w:numPr>
          <w:ilvl w:val="0"/>
          <w:numId w:val="2"/>
        </w:numPr>
      </w:pPr>
      <w:r w:rsidRPr="004F2C8C">
        <w:rPr>
          <w:b/>
          <w:bCs/>
        </w:rPr>
        <w:t>Vigilancia:</w:t>
      </w:r>
      <w:r w:rsidRPr="004F2C8C">
        <w:t xml:space="preserve"> Velan por que los negocios se ajusten a la ley para asegurar un mercado competitivo y ordenado.</w:t>
      </w:r>
    </w:p>
    <w:p w14:paraId="085E4CBA" w14:textId="77777777" w:rsidR="004F2C8C" w:rsidRPr="004F2C8C" w:rsidRDefault="004F2C8C" w:rsidP="004F2C8C">
      <w:pPr>
        <w:numPr>
          <w:ilvl w:val="0"/>
          <w:numId w:val="2"/>
        </w:numPr>
      </w:pPr>
      <w:r w:rsidRPr="004F2C8C">
        <w:rPr>
          <w:b/>
          <w:bCs/>
        </w:rPr>
        <w:t>Potestad Sancionatoria:</w:t>
      </w:r>
      <w:r w:rsidRPr="004F2C8C">
        <w:t xml:space="preserve"> Tienen la capacidad de sancionar a sus miembros y suspender la cotización de acciones cuando sea necesario.</w:t>
      </w:r>
    </w:p>
    <w:p w14:paraId="24B220D0" w14:textId="77777777" w:rsidR="004F2C8C" w:rsidRPr="004F2C8C" w:rsidRDefault="004F2C8C" w:rsidP="004F2C8C">
      <w:pPr>
        <w:numPr>
          <w:ilvl w:val="0"/>
          <w:numId w:val="2"/>
        </w:numPr>
      </w:pPr>
      <w:r w:rsidRPr="004F2C8C">
        <w:rPr>
          <w:b/>
          <w:bCs/>
        </w:rPr>
        <w:t>Entidades en Chile:</w:t>
      </w:r>
    </w:p>
    <w:p w14:paraId="60A1899A" w14:textId="77777777" w:rsidR="004F2C8C" w:rsidRPr="004F2C8C" w:rsidRDefault="004F2C8C" w:rsidP="004F2C8C">
      <w:pPr>
        <w:numPr>
          <w:ilvl w:val="1"/>
          <w:numId w:val="2"/>
        </w:numPr>
      </w:pPr>
      <w:r w:rsidRPr="004F2C8C">
        <w:rPr>
          <w:b/>
          <w:bCs/>
        </w:rPr>
        <w:t>Bolsa de Comercio de Santiago:</w:t>
      </w:r>
      <w:r w:rsidRPr="004F2C8C">
        <w:t xml:space="preserve"> Fundada en 1893.</w:t>
      </w:r>
    </w:p>
    <w:p w14:paraId="3028C212" w14:textId="77777777" w:rsidR="004F2C8C" w:rsidRPr="004F2C8C" w:rsidRDefault="004F2C8C" w:rsidP="004F2C8C">
      <w:pPr>
        <w:numPr>
          <w:ilvl w:val="1"/>
          <w:numId w:val="2"/>
        </w:numPr>
      </w:pPr>
      <w:r w:rsidRPr="004F2C8C">
        <w:rPr>
          <w:b/>
          <w:bCs/>
        </w:rPr>
        <w:t>Bolsa Electrónica de Chile:</w:t>
      </w:r>
      <w:r w:rsidRPr="004F2C8C">
        <w:t xml:space="preserve"> Fundada en 1989.</w:t>
      </w:r>
    </w:p>
    <w:p w14:paraId="26AA0050" w14:textId="77777777" w:rsidR="004F2C8C" w:rsidRPr="004F2C8C" w:rsidRDefault="004F2C8C" w:rsidP="004F2C8C">
      <w:pPr>
        <w:rPr>
          <w:b/>
          <w:bCs/>
        </w:rPr>
      </w:pPr>
      <w:r w:rsidRPr="004F2C8C">
        <w:rPr>
          <w:b/>
          <w:bCs/>
        </w:rPr>
        <w:t xml:space="preserve">Sección 3: Indicadores y </w:t>
      </w:r>
      <w:proofErr w:type="spellStart"/>
      <w:r w:rsidRPr="004F2C8C">
        <w:rPr>
          <w:b/>
          <w:bCs/>
        </w:rPr>
        <w:t>Benchmarks</w:t>
      </w:r>
      <w:proofErr w:type="spellEnd"/>
      <w:r w:rsidRPr="004F2C8C">
        <w:rPr>
          <w:b/>
          <w:bCs/>
        </w:rPr>
        <w:t xml:space="preserve"> Bursátiles</w:t>
      </w:r>
    </w:p>
    <w:p w14:paraId="62DAB362" w14:textId="77777777" w:rsidR="004F2C8C" w:rsidRPr="004F2C8C" w:rsidRDefault="004F2C8C" w:rsidP="004F2C8C">
      <w:r w:rsidRPr="004F2C8C">
        <w:t>Las bolsas generan índices que sirven como termómetros de la actividad económica:</w:t>
      </w:r>
    </w:p>
    <w:p w14:paraId="7B20AAE3" w14:textId="77777777" w:rsidR="004F2C8C" w:rsidRPr="004F2C8C" w:rsidRDefault="004F2C8C" w:rsidP="004F2C8C">
      <w:pPr>
        <w:numPr>
          <w:ilvl w:val="0"/>
          <w:numId w:val="3"/>
        </w:numPr>
      </w:pPr>
      <w:r w:rsidRPr="004F2C8C">
        <w:rPr>
          <w:b/>
          <w:bCs/>
        </w:rPr>
        <w:t>Propósito:</w:t>
      </w:r>
      <w:r w:rsidRPr="004F2C8C">
        <w:t xml:space="preserve"> Medir la evolución del mercado, industrias o segmentos específicos.</w:t>
      </w:r>
    </w:p>
    <w:p w14:paraId="2F48C312" w14:textId="77777777" w:rsidR="004F2C8C" w:rsidRPr="004F2C8C" w:rsidRDefault="004F2C8C" w:rsidP="004F2C8C">
      <w:pPr>
        <w:numPr>
          <w:ilvl w:val="0"/>
          <w:numId w:val="3"/>
        </w:numPr>
      </w:pPr>
      <w:r w:rsidRPr="004F2C8C">
        <w:rPr>
          <w:b/>
          <w:bCs/>
        </w:rPr>
        <w:t xml:space="preserve">Uso como </w:t>
      </w:r>
      <w:proofErr w:type="spellStart"/>
      <w:r w:rsidRPr="004F2C8C">
        <w:rPr>
          <w:b/>
          <w:bCs/>
        </w:rPr>
        <w:t>Benchmark</w:t>
      </w:r>
      <w:proofErr w:type="spellEnd"/>
      <w:r w:rsidRPr="004F2C8C">
        <w:rPr>
          <w:b/>
          <w:bCs/>
        </w:rPr>
        <w:t>:</w:t>
      </w:r>
      <w:r w:rsidRPr="004F2C8C">
        <w:t xml:space="preserve"> Sirven de referencia para evaluar el desempeño de carteras administradas por gestores.</w:t>
      </w:r>
    </w:p>
    <w:p w14:paraId="15706614" w14:textId="77777777" w:rsidR="004F2C8C" w:rsidRPr="004F2C8C" w:rsidRDefault="004F2C8C" w:rsidP="004F2C8C">
      <w:pPr>
        <w:numPr>
          <w:ilvl w:val="0"/>
          <w:numId w:val="3"/>
        </w:numPr>
      </w:pPr>
      <w:r w:rsidRPr="004F2C8C">
        <w:rPr>
          <w:b/>
          <w:bCs/>
        </w:rPr>
        <w:t>Criterios de Composición:</w:t>
      </w:r>
      <w:r w:rsidRPr="004F2C8C">
        <w:t xml:space="preserve"> Los instrumentos en un índice suelen compartir características como capitalización bursátil, industria o pertenencia al mismo centro bursátil.</w:t>
      </w:r>
    </w:p>
    <w:p w14:paraId="1408CD42" w14:textId="77777777" w:rsidR="004F2C8C" w:rsidRPr="004F2C8C" w:rsidRDefault="004F2C8C" w:rsidP="004F2C8C">
      <w:pPr>
        <w:rPr>
          <w:b/>
          <w:bCs/>
        </w:rPr>
      </w:pPr>
      <w:r w:rsidRPr="004F2C8C">
        <w:rPr>
          <w:b/>
          <w:bCs/>
        </w:rPr>
        <w:t>Sección 4: Requisitos de la CMF para el Funcionamiento</w:t>
      </w:r>
    </w:p>
    <w:p w14:paraId="30B71519" w14:textId="77777777" w:rsidR="004F2C8C" w:rsidRPr="004F2C8C" w:rsidRDefault="004F2C8C" w:rsidP="004F2C8C">
      <w:r w:rsidRPr="004F2C8C">
        <w:t>Para obtener y mantener la autorización de operación, las bolsas deben cumplir con estándares rigurosos:</w:t>
      </w:r>
    </w:p>
    <w:p w14:paraId="7AB13BCA" w14:textId="77777777" w:rsidR="004F2C8C" w:rsidRPr="004F2C8C" w:rsidRDefault="004F2C8C" w:rsidP="004F2C8C">
      <w:pPr>
        <w:numPr>
          <w:ilvl w:val="0"/>
          <w:numId w:val="4"/>
        </w:numPr>
      </w:pPr>
      <w:r w:rsidRPr="004F2C8C">
        <w:rPr>
          <w:b/>
          <w:bCs/>
        </w:rPr>
        <w:t>Solvencia:</w:t>
      </w:r>
      <w:r w:rsidRPr="004F2C8C">
        <w:t xml:space="preserve"> Mantener un capital pagado mínimo de </w:t>
      </w:r>
      <w:r w:rsidRPr="004F2C8C">
        <w:rPr>
          <w:b/>
          <w:bCs/>
        </w:rPr>
        <w:t>30.000 UF</w:t>
      </w:r>
      <w:r w:rsidRPr="004F2C8C">
        <w:t>.</w:t>
      </w:r>
    </w:p>
    <w:p w14:paraId="7C4FC12B" w14:textId="77777777" w:rsidR="004F2C8C" w:rsidRPr="004F2C8C" w:rsidRDefault="004F2C8C" w:rsidP="004F2C8C">
      <w:pPr>
        <w:numPr>
          <w:ilvl w:val="0"/>
          <w:numId w:val="4"/>
        </w:numPr>
      </w:pPr>
      <w:r w:rsidRPr="004F2C8C">
        <w:rPr>
          <w:b/>
          <w:bCs/>
        </w:rPr>
        <w:t>Membresía Mínima:</w:t>
      </w:r>
      <w:r w:rsidRPr="004F2C8C">
        <w:t xml:space="preserve"> Funcionar con al menos </w:t>
      </w:r>
      <w:r w:rsidRPr="004F2C8C">
        <w:rPr>
          <w:b/>
          <w:bCs/>
        </w:rPr>
        <w:t>10 corredores de bolsa</w:t>
      </w:r>
      <w:r w:rsidRPr="004F2C8C">
        <w:t>.</w:t>
      </w:r>
    </w:p>
    <w:p w14:paraId="1AB29A84" w14:textId="77777777" w:rsidR="004F2C8C" w:rsidRPr="004F2C8C" w:rsidRDefault="004F2C8C" w:rsidP="004F2C8C">
      <w:pPr>
        <w:numPr>
          <w:ilvl w:val="0"/>
          <w:numId w:val="4"/>
        </w:numPr>
      </w:pPr>
      <w:r w:rsidRPr="004F2C8C">
        <w:rPr>
          <w:b/>
          <w:bCs/>
        </w:rPr>
        <w:t>Límite de Propiedad:</w:t>
      </w:r>
      <w:r w:rsidRPr="004F2C8C">
        <w:t xml:space="preserve"> Ningún corredor (o personas relacionadas) puede poseer, directa o indirectamente, más del </w:t>
      </w:r>
      <w:r w:rsidRPr="004F2C8C">
        <w:rPr>
          <w:b/>
          <w:bCs/>
        </w:rPr>
        <w:t>10% de la propiedad</w:t>
      </w:r>
      <w:r w:rsidRPr="004F2C8C">
        <w:t xml:space="preserve"> de la bolsa.</w:t>
      </w:r>
    </w:p>
    <w:p w14:paraId="50DE7239" w14:textId="77777777" w:rsidR="004F2C8C" w:rsidRPr="004F2C8C" w:rsidRDefault="004F2C8C" w:rsidP="004F2C8C">
      <w:pPr>
        <w:numPr>
          <w:ilvl w:val="0"/>
          <w:numId w:val="4"/>
        </w:numPr>
      </w:pPr>
      <w:r w:rsidRPr="004F2C8C">
        <w:rPr>
          <w:b/>
          <w:bCs/>
        </w:rPr>
        <w:lastRenderedPageBreak/>
        <w:t>Unificación de Mercado:</w:t>
      </w:r>
      <w:r w:rsidRPr="004F2C8C">
        <w:t xml:space="preserve"> Deben contar con procedimientos que aseguren un mercado unificado para garantizar la mejor ejecución de las órdenes de los inversionistas.</w:t>
      </w:r>
    </w:p>
    <w:p w14:paraId="00D0DE5C" w14:textId="77777777" w:rsidR="004F2C8C" w:rsidRPr="004F2C8C" w:rsidRDefault="004F2C8C" w:rsidP="004F2C8C">
      <w:r w:rsidRPr="004F2C8C">
        <w:pict w14:anchorId="7FD46823">
          <v:rect id="_x0000_i1051" style="width:0;height:1.5pt" o:hralign="center" o:hrstd="t" o:hr="t" fillcolor="#a0a0a0" stroked="f"/>
        </w:pict>
      </w:r>
    </w:p>
    <w:p w14:paraId="67EF273E" w14:textId="77777777" w:rsidR="004F2C8C" w:rsidRPr="004F2C8C" w:rsidRDefault="004F2C8C" w:rsidP="004F2C8C">
      <w:pPr>
        <w:rPr>
          <w:b/>
          <w:bCs/>
        </w:rPr>
      </w:pPr>
      <w:r w:rsidRPr="004F2C8C">
        <w:rPr>
          <w:b/>
          <w:bCs/>
        </w:rPr>
        <w:t>Conclusiones o ideas clave</w:t>
      </w:r>
    </w:p>
    <w:p w14:paraId="5CC15BBA" w14:textId="77777777" w:rsidR="004F2C8C" w:rsidRPr="004F2C8C" w:rsidRDefault="004F2C8C" w:rsidP="004F2C8C">
      <w:pPr>
        <w:numPr>
          <w:ilvl w:val="0"/>
          <w:numId w:val="5"/>
        </w:numPr>
      </w:pPr>
      <w:r w:rsidRPr="004F2C8C">
        <w:rPr>
          <w:b/>
          <w:bCs/>
        </w:rPr>
        <w:t>Centro de Liquidez:</w:t>
      </w:r>
      <w:r w:rsidRPr="004F2C8C">
        <w:t xml:space="preserve"> La bolsa es el recinto donde el ahorro se transforma en inversión productiva mediante la compraventa de valores.</w:t>
      </w:r>
    </w:p>
    <w:p w14:paraId="00E8CA96" w14:textId="77777777" w:rsidR="004F2C8C" w:rsidRPr="004F2C8C" w:rsidRDefault="004F2C8C" w:rsidP="004F2C8C">
      <w:pPr>
        <w:numPr>
          <w:ilvl w:val="0"/>
          <w:numId w:val="5"/>
        </w:numPr>
      </w:pPr>
      <w:r w:rsidRPr="004F2C8C">
        <w:rPr>
          <w:b/>
          <w:bCs/>
        </w:rPr>
        <w:t>Garantía de Transparencia:</w:t>
      </w:r>
      <w:r w:rsidRPr="004F2C8C">
        <w:t xml:space="preserve"> A través de la subasta pública y la autorregulación, se asegura que los precios reflejen la realidad del mercado.</w:t>
      </w:r>
    </w:p>
    <w:p w14:paraId="7DB09210" w14:textId="77777777" w:rsidR="004F2C8C" w:rsidRPr="004F2C8C" w:rsidRDefault="004F2C8C" w:rsidP="004F2C8C">
      <w:pPr>
        <w:numPr>
          <w:ilvl w:val="0"/>
          <w:numId w:val="5"/>
        </w:numPr>
      </w:pPr>
      <w:r w:rsidRPr="004F2C8C">
        <w:rPr>
          <w:b/>
          <w:bCs/>
        </w:rPr>
        <w:t>Barreras de Entrada:</w:t>
      </w:r>
      <w:r w:rsidRPr="004F2C8C">
        <w:t xml:space="preserve"> Los requisitos de capital (30.000 UF) y la limitación de concentración de propiedad (10%) buscan evitar monopolios y asegurar la estabilidad institucional.</w:t>
      </w:r>
    </w:p>
    <w:p w14:paraId="79E06B24" w14:textId="77777777" w:rsidR="004F2C8C" w:rsidRPr="004F2C8C" w:rsidRDefault="004F2C8C" w:rsidP="004F2C8C">
      <w:r w:rsidRPr="004F2C8C">
        <w:pict w14:anchorId="12AC0712">
          <v:rect id="_x0000_i1052" style="width:0;height:1.5pt" o:hralign="center" o:hrstd="t" o:hr="t" fillcolor="#a0a0a0" stroked="f"/>
        </w:pict>
      </w:r>
    </w:p>
    <w:p w14:paraId="317B4F12" w14:textId="77777777" w:rsidR="004F2C8C" w:rsidRPr="004F2C8C" w:rsidRDefault="004F2C8C" w:rsidP="004F2C8C">
      <w:pPr>
        <w:rPr>
          <w:b/>
          <w:bCs/>
        </w:rPr>
      </w:pPr>
      <w:proofErr w:type="gramStart"/>
      <w:r w:rsidRPr="004F2C8C">
        <w:rPr>
          <w:b/>
          <w:bCs/>
        </w:rPr>
        <w:t>Puntos a aclarar</w:t>
      </w:r>
      <w:proofErr w:type="gramEnd"/>
      <w:r w:rsidRPr="004F2C8C">
        <w:rPr>
          <w:b/>
          <w:bCs/>
        </w:rPr>
        <w:t xml:space="preserve"> / información faltante</w:t>
      </w:r>
    </w:p>
    <w:p w14:paraId="62953D47" w14:textId="77777777" w:rsidR="004F2C8C" w:rsidRPr="004F2C8C" w:rsidRDefault="004F2C8C" w:rsidP="004F2C8C">
      <w:pPr>
        <w:numPr>
          <w:ilvl w:val="0"/>
          <w:numId w:val="6"/>
        </w:numPr>
      </w:pPr>
      <w:r w:rsidRPr="004F2C8C">
        <w:rPr>
          <w:b/>
          <w:bCs/>
        </w:rPr>
        <w:t>Tipos de Sanciones:</w:t>
      </w:r>
      <w:r w:rsidRPr="004F2C8C">
        <w:t xml:space="preserve"> El texto menciona la capacidad de sancionar, pero no especifica la gradualidad o tipos de sanciones (multas, expulsión, etc.).</w:t>
      </w:r>
    </w:p>
    <w:p w14:paraId="125CC189" w14:textId="77777777" w:rsidR="004F2C8C" w:rsidRPr="004F2C8C" w:rsidRDefault="004F2C8C" w:rsidP="004F2C8C">
      <w:pPr>
        <w:numPr>
          <w:ilvl w:val="0"/>
          <w:numId w:val="6"/>
        </w:numPr>
      </w:pPr>
      <w:r w:rsidRPr="004F2C8C">
        <w:rPr>
          <w:b/>
          <w:bCs/>
        </w:rPr>
        <w:t>Mecanismos de Interconexión:</w:t>
      </w:r>
      <w:r w:rsidRPr="004F2C8C">
        <w:t xml:space="preserve"> Se menciona la necesidad de un "mercado unificado", pero no se detalla cómo operan tecnológicamente ambas bolsas chilenas entre sí.</w:t>
      </w:r>
    </w:p>
    <w:p w14:paraId="0B795819" w14:textId="77777777" w:rsidR="004F2C8C" w:rsidRPr="004F2C8C" w:rsidRDefault="004F2C8C" w:rsidP="004F2C8C">
      <w:pPr>
        <w:numPr>
          <w:ilvl w:val="0"/>
          <w:numId w:val="6"/>
        </w:numPr>
      </w:pPr>
      <w:r w:rsidRPr="004F2C8C">
        <w:rPr>
          <w:b/>
          <w:bCs/>
        </w:rPr>
        <w:t>Procedimiento de Subasta:</w:t>
      </w:r>
      <w:r w:rsidRPr="004F2C8C">
        <w:t xml:space="preserve"> No se describe el funcionamiento técnico de los "mecanismos continuos de subasta pública" (ej. calces automáticos vs. pregón).</w:t>
      </w:r>
    </w:p>
    <w:p w14:paraId="74B47EFA"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201"/>
    <w:multiLevelType w:val="multilevel"/>
    <w:tmpl w:val="E29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22890"/>
    <w:multiLevelType w:val="multilevel"/>
    <w:tmpl w:val="A9CA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2047D"/>
    <w:multiLevelType w:val="multilevel"/>
    <w:tmpl w:val="BF3CF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70488"/>
    <w:multiLevelType w:val="multilevel"/>
    <w:tmpl w:val="145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D07CE"/>
    <w:multiLevelType w:val="multilevel"/>
    <w:tmpl w:val="53A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E4831"/>
    <w:multiLevelType w:val="multilevel"/>
    <w:tmpl w:val="975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435483">
    <w:abstractNumId w:val="4"/>
  </w:num>
  <w:num w:numId="2" w16cid:durableId="1894466559">
    <w:abstractNumId w:val="2"/>
  </w:num>
  <w:num w:numId="3" w16cid:durableId="531845996">
    <w:abstractNumId w:val="3"/>
  </w:num>
  <w:num w:numId="4" w16cid:durableId="1350764266">
    <w:abstractNumId w:val="1"/>
  </w:num>
  <w:num w:numId="5" w16cid:durableId="274558770">
    <w:abstractNumId w:val="5"/>
  </w:num>
  <w:num w:numId="6" w16cid:durableId="120182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AA"/>
    <w:rsid w:val="00071C90"/>
    <w:rsid w:val="000D1EDE"/>
    <w:rsid w:val="00320D26"/>
    <w:rsid w:val="00414AB1"/>
    <w:rsid w:val="004F2C8C"/>
    <w:rsid w:val="006473F9"/>
    <w:rsid w:val="00736F93"/>
    <w:rsid w:val="00775BAA"/>
    <w:rsid w:val="00BE1F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FA38"/>
  <w15:chartTrackingRefBased/>
  <w15:docId w15:val="{32C998FD-C0D2-464A-88C3-379A5990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5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5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5B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5B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5B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5B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5B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5B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5B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5B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5B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5B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5B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5B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5B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5B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5B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5BAA"/>
    <w:rPr>
      <w:rFonts w:eastAsiaTheme="majorEastAsia" w:cstheme="majorBidi"/>
      <w:color w:val="272727" w:themeColor="text1" w:themeTint="D8"/>
    </w:rPr>
  </w:style>
  <w:style w:type="paragraph" w:styleId="Ttulo">
    <w:name w:val="Title"/>
    <w:basedOn w:val="Normal"/>
    <w:next w:val="Normal"/>
    <w:link w:val="TtuloCar"/>
    <w:uiPriority w:val="10"/>
    <w:qFormat/>
    <w:rsid w:val="00775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5B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5B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5B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5BAA"/>
    <w:pPr>
      <w:spacing w:before="160"/>
      <w:jc w:val="center"/>
    </w:pPr>
    <w:rPr>
      <w:i/>
      <w:iCs/>
      <w:color w:val="404040" w:themeColor="text1" w:themeTint="BF"/>
    </w:rPr>
  </w:style>
  <w:style w:type="character" w:customStyle="1" w:styleId="CitaCar">
    <w:name w:val="Cita Car"/>
    <w:basedOn w:val="Fuentedeprrafopredeter"/>
    <w:link w:val="Cita"/>
    <w:uiPriority w:val="29"/>
    <w:rsid w:val="00775BAA"/>
    <w:rPr>
      <w:i/>
      <w:iCs/>
      <w:color w:val="404040" w:themeColor="text1" w:themeTint="BF"/>
    </w:rPr>
  </w:style>
  <w:style w:type="paragraph" w:styleId="Prrafodelista">
    <w:name w:val="List Paragraph"/>
    <w:basedOn w:val="Normal"/>
    <w:uiPriority w:val="34"/>
    <w:qFormat/>
    <w:rsid w:val="00775BAA"/>
    <w:pPr>
      <w:ind w:left="720"/>
      <w:contextualSpacing/>
    </w:pPr>
  </w:style>
  <w:style w:type="character" w:styleId="nfasisintenso">
    <w:name w:val="Intense Emphasis"/>
    <w:basedOn w:val="Fuentedeprrafopredeter"/>
    <w:uiPriority w:val="21"/>
    <w:qFormat/>
    <w:rsid w:val="00775BAA"/>
    <w:rPr>
      <w:i/>
      <w:iCs/>
      <w:color w:val="0F4761" w:themeColor="accent1" w:themeShade="BF"/>
    </w:rPr>
  </w:style>
  <w:style w:type="paragraph" w:styleId="Citadestacada">
    <w:name w:val="Intense Quote"/>
    <w:basedOn w:val="Normal"/>
    <w:next w:val="Normal"/>
    <w:link w:val="CitadestacadaCar"/>
    <w:uiPriority w:val="30"/>
    <w:qFormat/>
    <w:rsid w:val="00775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5BAA"/>
    <w:rPr>
      <w:i/>
      <w:iCs/>
      <w:color w:val="0F4761" w:themeColor="accent1" w:themeShade="BF"/>
    </w:rPr>
  </w:style>
  <w:style w:type="character" w:styleId="Referenciaintensa">
    <w:name w:val="Intense Reference"/>
    <w:basedOn w:val="Fuentedeprrafopredeter"/>
    <w:uiPriority w:val="32"/>
    <w:qFormat/>
    <w:rsid w:val="00775B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675</Words>
  <Characters>3717</Characters>
  <Application>Microsoft Office Word</Application>
  <DocSecurity>0</DocSecurity>
  <Lines>30</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2026-05-06T23:19:00Z</dcterms:created>
  <dcterms:modified xsi:type="dcterms:W3CDTF">2026-05-06T23:20:00Z</dcterms:modified>
</cp:coreProperties>
</file>