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84D7" w14:textId="77777777" w:rsidR="00473C7C" w:rsidRPr="00473C7C" w:rsidRDefault="00473C7C" w:rsidP="00473C7C">
      <w:pPr>
        <w:rPr>
          <w:b/>
          <w:bCs/>
        </w:rPr>
      </w:pPr>
      <w:r w:rsidRPr="00473C7C">
        <w:rPr>
          <w:b/>
          <w:bCs/>
        </w:rPr>
        <w:t>Instrumentos de Deuda: Bonos Corporativos y Públicos</w:t>
      </w:r>
    </w:p>
    <w:p w14:paraId="54630BA3" w14:textId="77777777" w:rsidR="00473C7C" w:rsidRPr="00473C7C" w:rsidRDefault="00473C7C" w:rsidP="00473C7C">
      <w:pPr>
        <w:rPr>
          <w:b/>
          <w:bCs/>
        </w:rPr>
      </w:pPr>
      <w:r w:rsidRPr="00473C7C">
        <w:rPr>
          <w:b/>
          <w:bCs/>
        </w:rPr>
        <w:t>Resumen ejecutivo</w:t>
      </w:r>
    </w:p>
    <w:p w14:paraId="76C25CC1" w14:textId="77777777" w:rsidR="00473C7C" w:rsidRPr="00473C7C" w:rsidRDefault="00473C7C" w:rsidP="00473C7C">
      <w:r w:rsidRPr="00473C7C">
        <w:t>Los bonos son instrumentos de deuda de mediano y largo plazo ($&gt; 1$ año) emitidos por sociedades anónimas y entidades públicas para captar recursos directamente del mercado de valores. Funcionan como un contrato de préstamo donde el inversionista entrega capital a cambio de su devolución más intereses (fijos o variables). Su validez para oferta pública requiere inscripción en el Registro de Valores de la CMF. Ofrecen liquidez mediante su venta en mercados secundarios antes del vencimiento, y su tasa de interés suele estar vinculada al riesgo de crédito del emisor.</w:t>
      </w:r>
    </w:p>
    <w:p w14:paraId="196D5193" w14:textId="77777777" w:rsidR="00473C7C" w:rsidRPr="00473C7C" w:rsidRDefault="00473C7C" w:rsidP="00473C7C">
      <w:r w:rsidRPr="00473C7C">
        <w:pict w14:anchorId="72607361">
          <v:rect id="_x0000_i1049" style="width:0;height:1.5pt" o:hralign="center" o:hrstd="t" o:hr="t" fillcolor="#a0a0a0" stroked="f"/>
        </w:pict>
      </w:r>
    </w:p>
    <w:p w14:paraId="11DF38D1" w14:textId="77777777" w:rsidR="00473C7C" w:rsidRPr="00473C7C" w:rsidRDefault="00473C7C" w:rsidP="00473C7C">
      <w:pPr>
        <w:rPr>
          <w:b/>
          <w:bCs/>
        </w:rPr>
      </w:pPr>
      <w:r w:rsidRPr="00473C7C">
        <w:rPr>
          <w:b/>
          <w:bCs/>
        </w:rPr>
        <w:t>Contexto / Antecedentes</w:t>
      </w:r>
    </w:p>
    <w:p w14:paraId="3B93572F" w14:textId="77777777" w:rsidR="00473C7C" w:rsidRPr="00473C7C" w:rsidRDefault="00473C7C" w:rsidP="00473C7C">
      <w:r w:rsidRPr="00473C7C">
        <w:t>En el mercado de capitales, los bonos representan una alternativa de financiamiento para los emisores y una opción de inversión en renta fija para los partícipes. A diferencia de los instrumentos de capitalización, el bono establece una obligación contractual de devolución de capital e intereses en plazos y condiciones predefinidas, permitiendo financiar desde proyectos de infraestructura hasta el refinanciamiento de pasivos existentes.</w:t>
      </w:r>
    </w:p>
    <w:p w14:paraId="1E8474D4" w14:textId="77777777" w:rsidR="00473C7C" w:rsidRPr="00473C7C" w:rsidRDefault="00473C7C" w:rsidP="00473C7C">
      <w:r w:rsidRPr="00473C7C">
        <w:pict w14:anchorId="79375263">
          <v:rect id="_x0000_i1050" style="width:0;height:1.5pt" o:hralign="center" o:hrstd="t" o:hr="t" fillcolor="#a0a0a0" stroked="f"/>
        </w:pict>
      </w:r>
    </w:p>
    <w:p w14:paraId="5A8298D2" w14:textId="77777777" w:rsidR="00473C7C" w:rsidRPr="00473C7C" w:rsidRDefault="00473C7C" w:rsidP="00473C7C">
      <w:pPr>
        <w:rPr>
          <w:b/>
          <w:bCs/>
        </w:rPr>
      </w:pPr>
      <w:r w:rsidRPr="00473C7C">
        <w:rPr>
          <w:b/>
          <w:bCs/>
        </w:rPr>
        <w:t>Desarrollo del contenido</w:t>
      </w:r>
    </w:p>
    <w:p w14:paraId="5F2D85C8" w14:textId="77777777" w:rsidR="00473C7C" w:rsidRPr="00473C7C" w:rsidRDefault="00473C7C" w:rsidP="00473C7C">
      <w:pPr>
        <w:rPr>
          <w:b/>
          <w:bCs/>
        </w:rPr>
      </w:pPr>
      <w:r w:rsidRPr="00473C7C">
        <w:rPr>
          <w:b/>
          <w:bCs/>
        </w:rPr>
        <w:t>Sección 1: Definición y Características Generales</w:t>
      </w:r>
    </w:p>
    <w:p w14:paraId="70722D29" w14:textId="77777777" w:rsidR="00473C7C" w:rsidRPr="00473C7C" w:rsidRDefault="00473C7C" w:rsidP="00473C7C">
      <w:r w:rsidRPr="00473C7C">
        <w:t>Los bonos se definen como títulos de deuda que otorgan al tenedor el derecho a percibir pagos futuros por parte del emisor.</w:t>
      </w:r>
    </w:p>
    <w:p w14:paraId="673B6020" w14:textId="77777777" w:rsidR="00473C7C" w:rsidRPr="00473C7C" w:rsidRDefault="00473C7C" w:rsidP="00473C7C">
      <w:pPr>
        <w:numPr>
          <w:ilvl w:val="0"/>
          <w:numId w:val="1"/>
        </w:numPr>
      </w:pPr>
      <w:r w:rsidRPr="00473C7C">
        <w:rPr>
          <w:b/>
          <w:bCs/>
        </w:rPr>
        <w:t>Emisores:</w:t>
      </w:r>
      <w:r w:rsidRPr="00473C7C">
        <w:t xml:space="preserve"> Sociedades anónimas, instituciones públicas, el Estado, gobiernos municipales y el Banco Central.</w:t>
      </w:r>
    </w:p>
    <w:p w14:paraId="6BE38A8F" w14:textId="77777777" w:rsidR="00473C7C" w:rsidRPr="00473C7C" w:rsidRDefault="00473C7C" w:rsidP="00473C7C">
      <w:pPr>
        <w:numPr>
          <w:ilvl w:val="0"/>
          <w:numId w:val="1"/>
        </w:numPr>
      </w:pPr>
      <w:r w:rsidRPr="00473C7C">
        <w:rPr>
          <w:b/>
          <w:bCs/>
        </w:rPr>
        <w:t>Objetivo de emisión:</w:t>
      </w:r>
      <w:r w:rsidRPr="00473C7C">
        <w:t xml:space="preserve"> Financiamiento de proyectos de inversión de largo plazo o cumplimiento de compromisos financieros (refinanciamiento de pasivos).</w:t>
      </w:r>
    </w:p>
    <w:p w14:paraId="13476F1C" w14:textId="77777777" w:rsidR="00473C7C" w:rsidRPr="00473C7C" w:rsidRDefault="00473C7C" w:rsidP="00473C7C">
      <w:pPr>
        <w:numPr>
          <w:ilvl w:val="0"/>
          <w:numId w:val="1"/>
        </w:numPr>
      </w:pPr>
      <w:r w:rsidRPr="00473C7C">
        <w:rPr>
          <w:b/>
          <w:bCs/>
        </w:rPr>
        <w:t>Plazos:</w:t>
      </w:r>
      <w:r w:rsidRPr="00473C7C">
        <w:t xml:space="preserve"> Siempre superiores a un año (mediano y largo plazo).</w:t>
      </w:r>
    </w:p>
    <w:p w14:paraId="367E5306" w14:textId="77777777" w:rsidR="00473C7C" w:rsidRPr="00473C7C" w:rsidRDefault="00473C7C" w:rsidP="00473C7C">
      <w:pPr>
        <w:numPr>
          <w:ilvl w:val="0"/>
          <w:numId w:val="1"/>
        </w:numPr>
      </w:pPr>
      <w:r w:rsidRPr="00473C7C">
        <w:rPr>
          <w:b/>
          <w:bCs/>
        </w:rPr>
        <w:t>Unidades de cuenta:</w:t>
      </w:r>
      <w:r w:rsidRPr="00473C7C">
        <w:t xml:space="preserve"> Pueden expresarse en pesos, moneda extranjera o unidades autorizadas por el Banco Central (ej. Unidad de Fomento - UF).</w:t>
      </w:r>
    </w:p>
    <w:p w14:paraId="2743DC75" w14:textId="77777777" w:rsidR="00473C7C" w:rsidRPr="00473C7C" w:rsidRDefault="00473C7C" w:rsidP="00473C7C">
      <w:pPr>
        <w:numPr>
          <w:ilvl w:val="0"/>
          <w:numId w:val="1"/>
        </w:numPr>
      </w:pPr>
      <w:r w:rsidRPr="00473C7C">
        <w:rPr>
          <w:b/>
          <w:bCs/>
        </w:rPr>
        <w:t>Reajustabilidad:</w:t>
      </w:r>
      <w:r w:rsidRPr="00473C7C">
        <w:t xml:space="preserve"> Los títulos pueden ser reajustables o no reajustables.</w:t>
      </w:r>
    </w:p>
    <w:p w14:paraId="716D2EB8" w14:textId="77777777" w:rsidR="00473C7C" w:rsidRPr="00473C7C" w:rsidRDefault="00473C7C" w:rsidP="00473C7C">
      <w:pPr>
        <w:rPr>
          <w:b/>
          <w:bCs/>
        </w:rPr>
      </w:pPr>
      <w:r w:rsidRPr="00473C7C">
        <w:rPr>
          <w:b/>
          <w:bCs/>
        </w:rPr>
        <w:t>Sección 2: Marco Regulatorio y Contratación</w:t>
      </w:r>
    </w:p>
    <w:p w14:paraId="04A64E38" w14:textId="77777777" w:rsidR="00473C7C" w:rsidRPr="00473C7C" w:rsidRDefault="00473C7C" w:rsidP="00473C7C">
      <w:r w:rsidRPr="00473C7C">
        <w:lastRenderedPageBreak/>
        <w:t>Para garantizar la transparencia y seguridad en el mercado, se establecen las siguientes condiciones:</w:t>
      </w:r>
    </w:p>
    <w:p w14:paraId="7B137A1B" w14:textId="77777777" w:rsidR="00473C7C" w:rsidRPr="00473C7C" w:rsidRDefault="00473C7C" w:rsidP="00473C7C">
      <w:pPr>
        <w:numPr>
          <w:ilvl w:val="0"/>
          <w:numId w:val="2"/>
        </w:numPr>
      </w:pPr>
      <w:r w:rsidRPr="00473C7C">
        <w:rPr>
          <w:b/>
          <w:bCs/>
        </w:rPr>
        <w:t>Inscripción obligatoria:</w:t>
      </w:r>
      <w:r w:rsidRPr="00473C7C">
        <w:t xml:space="preserve"> Tanto el emisor como los valores deben estar inscritos en el Registro de Valores de la Comisión para el Mercado Financiero (CMF) para realizar oferta pública.</w:t>
      </w:r>
    </w:p>
    <w:p w14:paraId="35404DC1" w14:textId="77777777" w:rsidR="00473C7C" w:rsidRPr="00473C7C" w:rsidRDefault="00473C7C" w:rsidP="00473C7C">
      <w:pPr>
        <w:numPr>
          <w:ilvl w:val="0"/>
          <w:numId w:val="2"/>
        </w:numPr>
      </w:pPr>
      <w:r w:rsidRPr="00473C7C">
        <w:rPr>
          <w:b/>
          <w:bCs/>
        </w:rPr>
        <w:t>Canales de adquisición:</w:t>
      </w:r>
      <w:r w:rsidRPr="00473C7C">
        <w:t xml:space="preserve"> La compra puede realizarse directamente al emisor, a través de intermediarios (corredores de bolsa y agentes de valores) u otros agentes autorizados.</w:t>
      </w:r>
    </w:p>
    <w:p w14:paraId="7EF3A6F9" w14:textId="77777777" w:rsidR="00473C7C" w:rsidRPr="00473C7C" w:rsidRDefault="00473C7C" w:rsidP="00473C7C">
      <w:pPr>
        <w:numPr>
          <w:ilvl w:val="0"/>
          <w:numId w:val="2"/>
        </w:numPr>
      </w:pPr>
      <w:r w:rsidRPr="00473C7C">
        <w:rPr>
          <w:b/>
          <w:bCs/>
        </w:rPr>
        <w:t>Ámbito de operación:</w:t>
      </w:r>
      <w:r w:rsidRPr="00473C7C">
        <w:t xml:space="preserve"> Las transacciones se ejecutan en bolsas de valores o fuera de ellas (mercado bursátil y extrabursátil).</w:t>
      </w:r>
    </w:p>
    <w:p w14:paraId="645991B2" w14:textId="77777777" w:rsidR="00473C7C" w:rsidRPr="00473C7C" w:rsidRDefault="00473C7C" w:rsidP="00473C7C">
      <w:pPr>
        <w:rPr>
          <w:b/>
          <w:bCs/>
        </w:rPr>
      </w:pPr>
      <w:r w:rsidRPr="00473C7C">
        <w:rPr>
          <w:b/>
          <w:bCs/>
        </w:rPr>
        <w:t>Sección 3: Mecánica Operativa y Liquidez</w:t>
      </w:r>
    </w:p>
    <w:p w14:paraId="5B374197" w14:textId="77777777" w:rsidR="00473C7C" w:rsidRPr="00473C7C" w:rsidRDefault="00473C7C" w:rsidP="00473C7C">
      <w:r w:rsidRPr="00473C7C">
        <w:t>El funcionamiento financiero del bono se basa en el flujo de caja acordado entre las partes.</w:t>
      </w:r>
    </w:p>
    <w:p w14:paraId="71DC1538" w14:textId="77777777" w:rsidR="00473C7C" w:rsidRPr="00473C7C" w:rsidRDefault="00473C7C" w:rsidP="00473C7C">
      <w:pPr>
        <w:numPr>
          <w:ilvl w:val="0"/>
          <w:numId w:val="3"/>
        </w:numPr>
      </w:pPr>
      <w:r w:rsidRPr="00473C7C">
        <w:rPr>
          <w:b/>
          <w:bCs/>
        </w:rPr>
        <w:t>Retorno al inversionista:</w:t>
      </w:r>
      <w:r w:rsidRPr="00473C7C">
        <w:t xml:space="preserve"> Devolución del capital principal más intereses (fijos o variables, determinados en el contrato de emisión).</w:t>
      </w:r>
    </w:p>
    <w:p w14:paraId="2326FD9B" w14:textId="77777777" w:rsidR="00473C7C" w:rsidRPr="00473C7C" w:rsidRDefault="00473C7C" w:rsidP="00473C7C">
      <w:pPr>
        <w:numPr>
          <w:ilvl w:val="0"/>
          <w:numId w:val="3"/>
        </w:numPr>
      </w:pPr>
      <w:r w:rsidRPr="00473C7C">
        <w:rPr>
          <w:b/>
          <w:bCs/>
        </w:rPr>
        <w:t>Cupones:</w:t>
      </w:r>
      <w:r w:rsidRPr="00473C7C">
        <w:t xml:space="preserve"> Documentos que representan el pago de intereses y amortizaciones. Si la tasa es fija, los montos se detallan en una </w:t>
      </w:r>
      <w:r w:rsidRPr="00473C7C">
        <w:rPr>
          <w:b/>
          <w:bCs/>
        </w:rPr>
        <w:t>tabla de desarrollo</w:t>
      </w:r>
      <w:r w:rsidRPr="00473C7C">
        <w:t xml:space="preserve"> protocolizada.</w:t>
      </w:r>
    </w:p>
    <w:p w14:paraId="29DBEB51" w14:textId="77777777" w:rsidR="00473C7C" w:rsidRPr="00473C7C" w:rsidRDefault="00473C7C" w:rsidP="00473C7C">
      <w:pPr>
        <w:numPr>
          <w:ilvl w:val="0"/>
          <w:numId w:val="3"/>
        </w:numPr>
      </w:pPr>
      <w:r w:rsidRPr="00473C7C">
        <w:rPr>
          <w:b/>
          <w:bCs/>
        </w:rPr>
        <w:t>Liquidez:</w:t>
      </w:r>
    </w:p>
    <w:p w14:paraId="74DF4B41" w14:textId="77777777" w:rsidR="00473C7C" w:rsidRPr="00473C7C" w:rsidRDefault="00473C7C" w:rsidP="00473C7C">
      <w:pPr>
        <w:numPr>
          <w:ilvl w:val="1"/>
          <w:numId w:val="3"/>
        </w:numPr>
      </w:pPr>
      <w:r w:rsidRPr="00473C7C">
        <w:rPr>
          <w:b/>
          <w:bCs/>
        </w:rPr>
        <w:t>Inmediata:</w:t>
      </w:r>
      <w:r w:rsidRPr="00473C7C">
        <w:t xml:space="preserve"> Mediante la venta del bono en el mercado secundario antes de su vencimiento.</w:t>
      </w:r>
    </w:p>
    <w:p w14:paraId="3556EBBC" w14:textId="77777777" w:rsidR="00473C7C" w:rsidRPr="00473C7C" w:rsidRDefault="00473C7C" w:rsidP="00473C7C">
      <w:pPr>
        <w:numPr>
          <w:ilvl w:val="1"/>
          <w:numId w:val="3"/>
        </w:numPr>
      </w:pPr>
      <w:r w:rsidRPr="00473C7C">
        <w:rPr>
          <w:b/>
          <w:bCs/>
        </w:rPr>
        <w:t>Periódica:</w:t>
      </w:r>
      <w:r w:rsidRPr="00473C7C">
        <w:t xml:space="preserve"> Mediante la conservación del instrumento hasta la recepción de los pagos programados.</w:t>
      </w:r>
    </w:p>
    <w:p w14:paraId="629E4D28" w14:textId="77777777" w:rsidR="00473C7C" w:rsidRPr="00473C7C" w:rsidRDefault="00473C7C" w:rsidP="00473C7C">
      <w:pPr>
        <w:rPr>
          <w:b/>
          <w:bCs/>
        </w:rPr>
      </w:pPr>
      <w:r w:rsidRPr="00473C7C">
        <w:rPr>
          <w:b/>
          <w:bCs/>
        </w:rPr>
        <w:t>Sección 4: Gestión de Riesgo y Costos</w:t>
      </w:r>
    </w:p>
    <w:p w14:paraId="6E02EAC5" w14:textId="77777777" w:rsidR="00473C7C" w:rsidRPr="00473C7C" w:rsidRDefault="00473C7C" w:rsidP="00473C7C">
      <w:r w:rsidRPr="00473C7C">
        <w:t>La inversión en bonos está sujeta a variables de mercado y solvencia:</w:t>
      </w:r>
    </w:p>
    <w:p w14:paraId="00F56F59" w14:textId="77777777" w:rsidR="00473C7C" w:rsidRPr="00473C7C" w:rsidRDefault="00473C7C" w:rsidP="00473C7C">
      <w:pPr>
        <w:numPr>
          <w:ilvl w:val="0"/>
          <w:numId w:val="4"/>
        </w:numPr>
      </w:pPr>
      <w:r w:rsidRPr="00473C7C">
        <w:rPr>
          <w:b/>
          <w:bCs/>
        </w:rPr>
        <w:t>Relación Riesgo-Retorno:</w:t>
      </w:r>
      <w:r w:rsidRPr="00473C7C">
        <w:t xml:space="preserve"> A mayor percepción de riesgo o posibilidad de impago por parte del emisor, mayor es la tasa de interés que este debe ofrecer para atraer inversionistas.</w:t>
      </w:r>
    </w:p>
    <w:p w14:paraId="62BD4C79" w14:textId="77777777" w:rsidR="00473C7C" w:rsidRPr="00473C7C" w:rsidRDefault="00473C7C" w:rsidP="00473C7C">
      <w:pPr>
        <w:numPr>
          <w:ilvl w:val="0"/>
          <w:numId w:val="4"/>
        </w:numPr>
      </w:pPr>
      <w:r w:rsidRPr="00473C7C">
        <w:rPr>
          <w:b/>
          <w:bCs/>
        </w:rPr>
        <w:t>Costos de Transacción:</w:t>
      </w:r>
      <w:r w:rsidRPr="00473C7C">
        <w:t xml:space="preserve"> Las bolsas de valores e intermediarios perciben cobros por las operaciones de compra y venta.</w:t>
      </w:r>
    </w:p>
    <w:p w14:paraId="132B9F11" w14:textId="77777777" w:rsidR="00473C7C" w:rsidRPr="00473C7C" w:rsidRDefault="00473C7C" w:rsidP="00473C7C">
      <w:pPr>
        <w:numPr>
          <w:ilvl w:val="0"/>
          <w:numId w:val="4"/>
        </w:numPr>
      </w:pPr>
      <w:r w:rsidRPr="00473C7C">
        <w:rPr>
          <w:b/>
          <w:bCs/>
        </w:rPr>
        <w:lastRenderedPageBreak/>
        <w:t>Situación Legal:</w:t>
      </w:r>
      <w:r w:rsidRPr="00473C7C">
        <w:t xml:space="preserve"> Los títulos pueden ser objeto de embargo por parte de acreedores del tenedor del bono.</w:t>
      </w:r>
    </w:p>
    <w:p w14:paraId="0B821DB4" w14:textId="77777777" w:rsidR="00473C7C" w:rsidRPr="00473C7C" w:rsidRDefault="00473C7C" w:rsidP="00473C7C">
      <w:r w:rsidRPr="00473C7C">
        <w:pict w14:anchorId="5A608D6F">
          <v:rect id="_x0000_i1051" style="width:0;height:1.5pt" o:hralign="center" o:hrstd="t" o:hr="t" fillcolor="#a0a0a0" stroked="f"/>
        </w:pict>
      </w:r>
    </w:p>
    <w:p w14:paraId="19BA43A8" w14:textId="77777777" w:rsidR="00473C7C" w:rsidRPr="00473C7C" w:rsidRDefault="00473C7C" w:rsidP="00473C7C">
      <w:pPr>
        <w:rPr>
          <w:b/>
          <w:bCs/>
        </w:rPr>
      </w:pPr>
      <w:r w:rsidRPr="00473C7C">
        <w:rPr>
          <w:b/>
          <w:bCs/>
        </w:rPr>
        <w:t>Conclusiones o ideas clave</w:t>
      </w:r>
    </w:p>
    <w:p w14:paraId="19C23F87" w14:textId="77777777" w:rsidR="00473C7C" w:rsidRPr="00473C7C" w:rsidRDefault="00473C7C" w:rsidP="00473C7C">
      <w:pPr>
        <w:numPr>
          <w:ilvl w:val="0"/>
          <w:numId w:val="5"/>
        </w:numPr>
      </w:pPr>
      <w:r w:rsidRPr="00473C7C">
        <w:rPr>
          <w:b/>
          <w:bCs/>
        </w:rPr>
        <w:t>Naturaleza de Renta Fija:</w:t>
      </w:r>
      <w:r w:rsidRPr="00473C7C">
        <w:t xml:space="preserve"> El bono es un préstamo donde el emisor se obliga a pagar capital e intereses en fechas y lugares predeterminados.</w:t>
      </w:r>
    </w:p>
    <w:p w14:paraId="4C0BDA0F" w14:textId="77777777" w:rsidR="00473C7C" w:rsidRPr="00473C7C" w:rsidRDefault="00473C7C" w:rsidP="00473C7C">
      <w:pPr>
        <w:numPr>
          <w:ilvl w:val="0"/>
          <w:numId w:val="5"/>
        </w:numPr>
      </w:pPr>
      <w:r w:rsidRPr="00473C7C">
        <w:rPr>
          <w:b/>
          <w:bCs/>
        </w:rPr>
        <w:t>Versatilidad de Liquidez:</w:t>
      </w:r>
      <w:r w:rsidRPr="00473C7C">
        <w:t xml:space="preserve"> No es obligatorio mantener el instrumento hasta su vencimiento; el mercado secundario permite su liquidación anticipada.</w:t>
      </w:r>
    </w:p>
    <w:p w14:paraId="7DB95E3E" w14:textId="77777777" w:rsidR="00473C7C" w:rsidRPr="00473C7C" w:rsidRDefault="00473C7C" w:rsidP="00473C7C">
      <w:pPr>
        <w:numPr>
          <w:ilvl w:val="0"/>
          <w:numId w:val="5"/>
        </w:numPr>
      </w:pPr>
      <w:r w:rsidRPr="00473C7C">
        <w:rPr>
          <w:b/>
          <w:bCs/>
        </w:rPr>
        <w:t>Importancia del Registro:</w:t>
      </w:r>
      <w:r w:rsidRPr="00473C7C">
        <w:t xml:space="preserve"> La fiscalización de la CMF sobre el emisor y el título es el pilar de la fe pública en estos instrumentos.</w:t>
      </w:r>
    </w:p>
    <w:p w14:paraId="4B6166D6" w14:textId="77777777" w:rsidR="00473C7C" w:rsidRPr="00473C7C" w:rsidRDefault="00473C7C" w:rsidP="00473C7C">
      <w:r w:rsidRPr="00473C7C">
        <w:pict w14:anchorId="451EC3B3">
          <v:rect id="_x0000_i1052" style="width:0;height:1.5pt" o:hralign="center" o:hrstd="t" o:hr="t" fillcolor="#a0a0a0" stroked="f"/>
        </w:pict>
      </w:r>
    </w:p>
    <w:p w14:paraId="72B2F263" w14:textId="77777777" w:rsidR="00473C7C" w:rsidRPr="00473C7C" w:rsidRDefault="00473C7C" w:rsidP="00473C7C">
      <w:pPr>
        <w:rPr>
          <w:b/>
          <w:bCs/>
        </w:rPr>
      </w:pPr>
      <w:r w:rsidRPr="00473C7C">
        <w:rPr>
          <w:b/>
          <w:bCs/>
        </w:rPr>
        <w:t>Puntos a aclarar / información faltante</w:t>
      </w:r>
    </w:p>
    <w:p w14:paraId="5609A737" w14:textId="77777777" w:rsidR="00473C7C" w:rsidRPr="00473C7C" w:rsidRDefault="00473C7C" w:rsidP="00473C7C">
      <w:pPr>
        <w:numPr>
          <w:ilvl w:val="0"/>
          <w:numId w:val="6"/>
        </w:numPr>
      </w:pPr>
      <w:r w:rsidRPr="00473C7C">
        <w:rPr>
          <w:b/>
          <w:bCs/>
        </w:rPr>
        <w:t>Tipos de Tasa Variable:</w:t>
      </w:r>
      <w:r w:rsidRPr="00473C7C">
        <w:t xml:space="preserve"> El texto menciona que el interés puede ser variable, pero no define cuáles son los índices de referencia habituales (ej. TAB, Libor, etc.).</w:t>
      </w:r>
    </w:p>
    <w:p w14:paraId="4B60CE82" w14:textId="77777777" w:rsidR="00473C7C" w:rsidRPr="00473C7C" w:rsidRDefault="00473C7C" w:rsidP="00473C7C">
      <w:pPr>
        <w:numPr>
          <w:ilvl w:val="0"/>
          <w:numId w:val="6"/>
        </w:numPr>
      </w:pPr>
      <w:r w:rsidRPr="00473C7C">
        <w:rPr>
          <w:b/>
          <w:bCs/>
        </w:rPr>
        <w:t>Garantías:</w:t>
      </w:r>
      <w:r w:rsidRPr="00473C7C">
        <w:t xml:space="preserve"> No se especifica si los bonos cuentan con garantías específicas (prendas, hipotecas) o si son títulos de crédito general (bonos subordinados o senior).</w:t>
      </w:r>
    </w:p>
    <w:p w14:paraId="5BDF2FC9" w14:textId="77777777" w:rsidR="00473C7C" w:rsidRPr="00473C7C" w:rsidRDefault="00473C7C" w:rsidP="00473C7C">
      <w:pPr>
        <w:numPr>
          <w:ilvl w:val="0"/>
          <w:numId w:val="6"/>
        </w:numPr>
      </w:pPr>
      <w:r w:rsidRPr="00473C7C">
        <w:rPr>
          <w:b/>
          <w:bCs/>
        </w:rPr>
        <w:t>Detalle de Costos:</w:t>
      </w:r>
      <w:r w:rsidRPr="00473C7C">
        <w:t xml:space="preserve"> Se mencionan "cobros", pero no se desglosa si son comisiones fijas, porcentuales o derechos de bolsa específicos.</w:t>
      </w:r>
    </w:p>
    <w:p w14:paraId="3AADB8E4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CDD"/>
    <w:multiLevelType w:val="multilevel"/>
    <w:tmpl w:val="0318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61B28"/>
    <w:multiLevelType w:val="multilevel"/>
    <w:tmpl w:val="F4D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85864"/>
    <w:multiLevelType w:val="multilevel"/>
    <w:tmpl w:val="563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B34D1"/>
    <w:multiLevelType w:val="multilevel"/>
    <w:tmpl w:val="D01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016B4"/>
    <w:multiLevelType w:val="multilevel"/>
    <w:tmpl w:val="5EB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04D75"/>
    <w:multiLevelType w:val="multilevel"/>
    <w:tmpl w:val="8FF0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605004">
    <w:abstractNumId w:val="5"/>
  </w:num>
  <w:num w:numId="2" w16cid:durableId="1022707060">
    <w:abstractNumId w:val="1"/>
  </w:num>
  <w:num w:numId="3" w16cid:durableId="60175996">
    <w:abstractNumId w:val="2"/>
  </w:num>
  <w:num w:numId="4" w16cid:durableId="268898321">
    <w:abstractNumId w:val="4"/>
  </w:num>
  <w:num w:numId="5" w16cid:durableId="1589459172">
    <w:abstractNumId w:val="0"/>
  </w:num>
  <w:num w:numId="6" w16cid:durableId="689375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6C"/>
    <w:rsid w:val="00071C90"/>
    <w:rsid w:val="000D1EDE"/>
    <w:rsid w:val="00320D26"/>
    <w:rsid w:val="00414AB1"/>
    <w:rsid w:val="00473C7C"/>
    <w:rsid w:val="006473F9"/>
    <w:rsid w:val="00736F93"/>
    <w:rsid w:val="009A0E6C"/>
    <w:rsid w:val="00C4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58F98"/>
  <w15:chartTrackingRefBased/>
  <w15:docId w15:val="{DA718E64-6484-4157-9501-04E23977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E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E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E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E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E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E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E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E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E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E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700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2026-05-06T23:17:00Z</dcterms:created>
  <dcterms:modified xsi:type="dcterms:W3CDTF">2026-05-06T23:18:00Z</dcterms:modified>
</cp:coreProperties>
</file>