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BE78" w14:textId="77777777" w:rsidR="00E95FF7" w:rsidRPr="00E95FF7" w:rsidRDefault="00E95FF7" w:rsidP="00E95FF7">
      <w:pPr>
        <w:rPr>
          <w:b/>
          <w:bCs/>
        </w:rPr>
      </w:pPr>
      <w:r w:rsidRPr="00E95FF7">
        <w:rPr>
          <w:b/>
          <w:bCs/>
        </w:rPr>
        <w:t>Análisis de la Estructura de Costos y Cobros de Intermediación Financiera</w:t>
      </w:r>
    </w:p>
    <w:p w14:paraId="78EACBD8" w14:textId="77777777" w:rsidR="00E95FF7" w:rsidRPr="00E95FF7" w:rsidRDefault="00E95FF7" w:rsidP="00E95FF7">
      <w:pPr>
        <w:rPr>
          <w:b/>
          <w:bCs/>
        </w:rPr>
      </w:pPr>
      <w:r w:rsidRPr="00E95FF7">
        <w:rPr>
          <w:b/>
          <w:bCs/>
        </w:rPr>
        <w:t>Resumen Ejecutivo</w:t>
      </w:r>
    </w:p>
    <w:p w14:paraId="629B1DE5" w14:textId="77777777" w:rsidR="00E95FF7" w:rsidRPr="00E95FF7" w:rsidRDefault="00E95FF7" w:rsidP="00E95FF7">
      <w:r w:rsidRPr="00E95FF7">
        <w:t>Los cobros de intermediación representan las erogaciones obligatorias que los inversionistas deben asumir al ejecutar transacciones de valores. Estos cargos son aplicados tanto por las Bolsas de Valores como por los Intermediarios (corredores), y actúan como "costos de transacción" que reducen la rentabilidad neta de una operación. La estructura de estos cobros se divide principalmente en comisiones variables, impuestos legales y costos fijos de administración y resguardo de activos.</w:t>
      </w:r>
    </w:p>
    <w:p w14:paraId="73D6C0EA" w14:textId="77777777" w:rsidR="00E95FF7" w:rsidRPr="00E95FF7" w:rsidRDefault="00E95FF7" w:rsidP="00E95FF7">
      <w:r w:rsidRPr="00E95FF7">
        <w:pict w14:anchorId="5FBDF39F">
          <v:rect id="_x0000_i1061" style="width:0;height:1.5pt" o:hralign="center" o:hrstd="t" o:hr="t" fillcolor="#a0a0a0" stroked="f"/>
        </w:pict>
      </w:r>
    </w:p>
    <w:p w14:paraId="10B3D256" w14:textId="77777777" w:rsidR="00E95FF7" w:rsidRPr="00E95FF7" w:rsidRDefault="00E95FF7" w:rsidP="00E95FF7">
      <w:pPr>
        <w:rPr>
          <w:b/>
          <w:bCs/>
        </w:rPr>
      </w:pPr>
      <w:r w:rsidRPr="00E95FF7">
        <w:rPr>
          <w:b/>
          <w:bCs/>
        </w:rPr>
        <w:t>Contexto y Propósito del Documento</w:t>
      </w:r>
    </w:p>
    <w:p w14:paraId="5D98F47F" w14:textId="77777777" w:rsidR="00E95FF7" w:rsidRPr="00E95FF7" w:rsidRDefault="00E95FF7" w:rsidP="00E95FF7">
      <w:r w:rsidRPr="00E95FF7">
        <w:t>El presente documento tiene como objetivo desglosar y categorizar los distintos cargos financieros asociados a la negociación de instrumentos en el mercado de valores. Es fundamental que el inversionista identifique estos costos, ya que su aplicación ocurre tanto en operaciones bursátiles (en Bolsa) como en transacciones extrabursátiles (fuera de Bolsa), impactando directamente en el punto de equilibrio de cualquier estrategia de inversión.</w:t>
      </w:r>
    </w:p>
    <w:p w14:paraId="4FE8A25F" w14:textId="77777777" w:rsidR="00E95FF7" w:rsidRPr="00E95FF7" w:rsidRDefault="00E95FF7" w:rsidP="00E95FF7">
      <w:r w:rsidRPr="00E95FF7">
        <w:pict w14:anchorId="153813EC">
          <v:rect id="_x0000_i1062" style="width:0;height:1.5pt" o:hralign="center" o:hrstd="t" o:hr="t" fillcolor="#a0a0a0" stroked="f"/>
        </w:pict>
      </w:r>
    </w:p>
    <w:p w14:paraId="2AAA087B" w14:textId="77777777" w:rsidR="00E95FF7" w:rsidRPr="00E95FF7" w:rsidRDefault="00E95FF7" w:rsidP="00E95FF7">
      <w:pPr>
        <w:rPr>
          <w:b/>
          <w:bCs/>
        </w:rPr>
      </w:pPr>
      <w:r w:rsidRPr="00E95FF7">
        <w:rPr>
          <w:b/>
          <w:bCs/>
        </w:rPr>
        <w:t>Desarrollo del Contenido</w:t>
      </w:r>
    </w:p>
    <w:p w14:paraId="581414B9" w14:textId="77777777" w:rsidR="00E95FF7" w:rsidRPr="00E95FF7" w:rsidRDefault="00E95FF7" w:rsidP="00E95FF7">
      <w:pPr>
        <w:rPr>
          <w:b/>
          <w:bCs/>
        </w:rPr>
      </w:pPr>
      <w:r w:rsidRPr="00E95FF7">
        <w:rPr>
          <w:b/>
          <w:bCs/>
        </w:rPr>
        <w:t>Sección 1: Clasificación de los Cobros de Intermediación</w:t>
      </w:r>
    </w:p>
    <w:p w14:paraId="156BE656" w14:textId="77777777" w:rsidR="00E95FF7" w:rsidRPr="00E95FF7" w:rsidRDefault="00E95FF7" w:rsidP="00E95FF7">
      <w:r w:rsidRPr="00E95FF7">
        <w:t>La normativa permite a las instituciones financieras aplicar diversos cargos por sus servicios de negociación y administración. Estos se agrupan en cuatro categorías fundamentales:</w:t>
      </w:r>
    </w:p>
    <w:p w14:paraId="67701EA6" w14:textId="77777777" w:rsidR="00E95FF7" w:rsidRPr="00E95FF7" w:rsidRDefault="00E95FF7" w:rsidP="00E95FF7">
      <w:pPr>
        <w:numPr>
          <w:ilvl w:val="0"/>
          <w:numId w:val="1"/>
        </w:numPr>
      </w:pPr>
      <w:r w:rsidRPr="00E95FF7">
        <w:rPr>
          <w:b/>
          <w:bCs/>
        </w:rPr>
        <w:t>Comisión del Corredor (Variable):</w:t>
      </w:r>
    </w:p>
    <w:p w14:paraId="5354A2FD" w14:textId="77777777" w:rsidR="00E95FF7" w:rsidRPr="00E95FF7" w:rsidRDefault="00E95FF7" w:rsidP="00E95FF7">
      <w:pPr>
        <w:numPr>
          <w:ilvl w:val="1"/>
          <w:numId w:val="1"/>
        </w:numPr>
      </w:pPr>
      <w:r w:rsidRPr="00E95FF7">
        <w:t>Es el pago por el servicio de ejecución de la orden.</w:t>
      </w:r>
    </w:p>
    <w:p w14:paraId="70FDB832" w14:textId="77777777" w:rsidR="00E95FF7" w:rsidRPr="00E95FF7" w:rsidRDefault="00E95FF7" w:rsidP="00E95FF7">
      <w:pPr>
        <w:numPr>
          <w:ilvl w:val="1"/>
          <w:numId w:val="1"/>
        </w:numPr>
      </w:pPr>
      <w:r w:rsidRPr="00E95FF7">
        <w:rPr>
          <w:b/>
          <w:bCs/>
        </w:rPr>
        <w:t>Metodología:</w:t>
      </w:r>
      <w:r w:rsidRPr="00E95FF7">
        <w:t xml:space="preserve"> Generalmente se calcula como un porcentaje sobre el monto total transado.</w:t>
      </w:r>
    </w:p>
    <w:p w14:paraId="509052C5" w14:textId="77777777" w:rsidR="00E95FF7" w:rsidRPr="00E95FF7" w:rsidRDefault="00E95FF7" w:rsidP="00E95FF7">
      <w:pPr>
        <w:numPr>
          <w:ilvl w:val="1"/>
          <w:numId w:val="1"/>
        </w:numPr>
      </w:pPr>
      <w:r w:rsidRPr="00E95FF7">
        <w:rPr>
          <w:b/>
          <w:bCs/>
        </w:rPr>
        <w:t>Componentes Adicionales:</w:t>
      </w:r>
      <w:r w:rsidRPr="00E95FF7">
        <w:t xml:space="preserve"> Puede integrar los "derechos de bolsa", que son las tarifas que las bolsas de valores exigen por el uso de su plataforma e infraestructura.</w:t>
      </w:r>
    </w:p>
    <w:p w14:paraId="4BC42C1A" w14:textId="77777777" w:rsidR="00E95FF7" w:rsidRPr="00E95FF7" w:rsidRDefault="00E95FF7" w:rsidP="00E95FF7">
      <w:pPr>
        <w:numPr>
          <w:ilvl w:val="0"/>
          <w:numId w:val="1"/>
        </w:numPr>
      </w:pPr>
      <w:r w:rsidRPr="00E95FF7">
        <w:rPr>
          <w:b/>
          <w:bCs/>
        </w:rPr>
        <w:t>Impuesto al Valor Agregado (IVA):</w:t>
      </w:r>
    </w:p>
    <w:p w14:paraId="3FDCC7CC" w14:textId="77777777" w:rsidR="00E95FF7" w:rsidRPr="00E95FF7" w:rsidRDefault="00E95FF7" w:rsidP="00E95FF7">
      <w:pPr>
        <w:numPr>
          <w:ilvl w:val="1"/>
          <w:numId w:val="1"/>
        </w:numPr>
      </w:pPr>
      <w:r w:rsidRPr="00E95FF7">
        <w:t>Es una carga impositiva legal obligatoria.</w:t>
      </w:r>
    </w:p>
    <w:p w14:paraId="13E9BB99" w14:textId="77777777" w:rsidR="00E95FF7" w:rsidRPr="00E95FF7" w:rsidRDefault="00E95FF7" w:rsidP="00E95FF7">
      <w:pPr>
        <w:numPr>
          <w:ilvl w:val="1"/>
          <w:numId w:val="1"/>
        </w:numPr>
      </w:pPr>
      <w:r w:rsidRPr="00E95FF7">
        <w:rPr>
          <w:b/>
          <w:bCs/>
        </w:rPr>
        <w:lastRenderedPageBreak/>
        <w:t>Tasa:</w:t>
      </w:r>
      <w:r w:rsidRPr="00E95FF7">
        <w:t xml:space="preserve"> Se aplica el </w:t>
      </w:r>
      <w:r w:rsidRPr="00E95FF7">
        <w:rPr>
          <w:b/>
          <w:bCs/>
        </w:rPr>
        <w:t>19%</w:t>
      </w:r>
      <w:r w:rsidRPr="00E95FF7">
        <w:t xml:space="preserve"> sobre el valor de la comisión cobrada por el corredor.</w:t>
      </w:r>
    </w:p>
    <w:p w14:paraId="08CE91EF" w14:textId="77777777" w:rsidR="00E95FF7" w:rsidRPr="00E95FF7" w:rsidRDefault="00E95FF7" w:rsidP="00E95FF7">
      <w:pPr>
        <w:numPr>
          <w:ilvl w:val="0"/>
          <w:numId w:val="1"/>
        </w:numPr>
      </w:pPr>
      <w:r w:rsidRPr="00E95FF7">
        <w:rPr>
          <w:b/>
          <w:bCs/>
        </w:rPr>
        <w:t>Costo de Custodia (Administrativo):</w:t>
      </w:r>
    </w:p>
    <w:p w14:paraId="77C13DE3" w14:textId="77777777" w:rsidR="00E95FF7" w:rsidRPr="00E95FF7" w:rsidRDefault="00E95FF7" w:rsidP="00E95FF7">
      <w:pPr>
        <w:numPr>
          <w:ilvl w:val="1"/>
          <w:numId w:val="1"/>
        </w:numPr>
      </w:pPr>
      <w:r w:rsidRPr="00E95FF7">
        <w:t>Corresponde al cobro por el resguardo y mantenimiento de los títulos (acciones, bonos, etc.).</w:t>
      </w:r>
    </w:p>
    <w:p w14:paraId="4B7012EB" w14:textId="77777777" w:rsidR="00E95FF7" w:rsidRPr="00E95FF7" w:rsidRDefault="00E95FF7" w:rsidP="00E95FF7">
      <w:pPr>
        <w:numPr>
          <w:ilvl w:val="1"/>
          <w:numId w:val="1"/>
        </w:numPr>
      </w:pPr>
      <w:r w:rsidRPr="00E95FF7">
        <w:rPr>
          <w:b/>
          <w:bCs/>
        </w:rPr>
        <w:t>Opciones del Cliente:</w:t>
      </w:r>
      <w:r w:rsidRPr="00E95FF7">
        <w:t xml:space="preserve"> El inversionista puede elegir mantener los títulos físicamente o delegar la custodia a la corredora, la cual suele utilizar empresas especializadas en depósito de valores.</w:t>
      </w:r>
    </w:p>
    <w:p w14:paraId="2592991D" w14:textId="77777777" w:rsidR="00E95FF7" w:rsidRPr="00E95FF7" w:rsidRDefault="00E95FF7" w:rsidP="00E95FF7">
      <w:pPr>
        <w:numPr>
          <w:ilvl w:val="1"/>
          <w:numId w:val="1"/>
        </w:numPr>
      </w:pPr>
      <w:r w:rsidRPr="00E95FF7">
        <w:rPr>
          <w:b/>
          <w:bCs/>
        </w:rPr>
        <w:t>Naturaleza:</w:t>
      </w:r>
      <w:r w:rsidRPr="00E95FF7">
        <w:t xml:space="preserve"> Es un costo variable según la entidad y el volumen de activos.</w:t>
      </w:r>
    </w:p>
    <w:p w14:paraId="0408BBEA" w14:textId="77777777" w:rsidR="00E95FF7" w:rsidRPr="00E95FF7" w:rsidRDefault="00E95FF7" w:rsidP="00E95FF7">
      <w:pPr>
        <w:numPr>
          <w:ilvl w:val="0"/>
          <w:numId w:val="1"/>
        </w:numPr>
      </w:pPr>
      <w:r w:rsidRPr="00E95FF7">
        <w:rPr>
          <w:b/>
          <w:bCs/>
        </w:rPr>
        <w:t>Costos Operativos y de Facturación (Fijos):</w:t>
      </w:r>
    </w:p>
    <w:p w14:paraId="5E1DB355" w14:textId="77777777" w:rsidR="00E95FF7" w:rsidRPr="00E95FF7" w:rsidRDefault="00E95FF7" w:rsidP="00E95FF7">
      <w:pPr>
        <w:numPr>
          <w:ilvl w:val="1"/>
          <w:numId w:val="1"/>
        </w:numPr>
      </w:pPr>
      <w:r w:rsidRPr="00E95FF7">
        <w:t>Cargos aplicados por algunos intermediarios para cubrir gastos administrativos de procesamiento.</w:t>
      </w:r>
    </w:p>
    <w:p w14:paraId="3475ADFA" w14:textId="77777777" w:rsidR="00E95FF7" w:rsidRPr="00E95FF7" w:rsidRDefault="00E95FF7" w:rsidP="00E95FF7">
      <w:pPr>
        <w:numPr>
          <w:ilvl w:val="1"/>
          <w:numId w:val="1"/>
        </w:numPr>
      </w:pPr>
      <w:r w:rsidRPr="00E95FF7">
        <w:rPr>
          <w:b/>
          <w:bCs/>
        </w:rPr>
        <w:t>Ejemplo:</w:t>
      </w:r>
      <w:r w:rsidRPr="00E95FF7">
        <w:t xml:space="preserve"> Comisiones fijas por emisión de facturas o reportes al cliente.</w:t>
      </w:r>
    </w:p>
    <w:p w14:paraId="21A03174" w14:textId="77777777" w:rsidR="00E95FF7" w:rsidRPr="00E95FF7" w:rsidRDefault="00E95FF7" w:rsidP="00E95FF7">
      <w:r w:rsidRPr="00E95FF7">
        <w:pict w14:anchorId="23611390">
          <v:rect id="_x0000_i1063" style="width:0;height:1.5pt" o:hralign="center" o:hrstd="t" o:hr="t" fillcolor="#a0a0a0" stroked="f"/>
        </w:pict>
      </w:r>
    </w:p>
    <w:p w14:paraId="1995FC9F" w14:textId="77777777" w:rsidR="00E95FF7" w:rsidRPr="00E95FF7" w:rsidRDefault="00E95FF7" w:rsidP="00E95FF7">
      <w:pPr>
        <w:rPr>
          <w:b/>
          <w:bCs/>
        </w:rPr>
      </w:pPr>
      <w:r w:rsidRPr="00E95FF7">
        <w:rPr>
          <w:b/>
          <w:bCs/>
        </w:rPr>
        <w:t>Conceptos Financieros Clave</w:t>
      </w:r>
    </w:p>
    <w:p w14:paraId="2A090C32" w14:textId="77777777" w:rsidR="00E95FF7" w:rsidRPr="00E95FF7" w:rsidRDefault="00E95FF7" w:rsidP="00E95FF7">
      <w:pPr>
        <w:numPr>
          <w:ilvl w:val="0"/>
          <w:numId w:val="2"/>
        </w:numPr>
      </w:pPr>
      <w:r w:rsidRPr="00E95FF7">
        <w:rPr>
          <w:b/>
          <w:bCs/>
        </w:rPr>
        <w:t>Intermediario de Valores:</w:t>
      </w:r>
      <w:r w:rsidRPr="00E95FF7">
        <w:t xml:space="preserve"> Entidad autorizada para realizar la compra y venta de valores por cuenta de terceros.</w:t>
      </w:r>
    </w:p>
    <w:p w14:paraId="3825A8FD" w14:textId="77777777" w:rsidR="00E95FF7" w:rsidRPr="00E95FF7" w:rsidRDefault="00E95FF7" w:rsidP="00E95FF7">
      <w:pPr>
        <w:numPr>
          <w:ilvl w:val="0"/>
          <w:numId w:val="2"/>
        </w:numPr>
      </w:pPr>
      <w:r w:rsidRPr="00E95FF7">
        <w:rPr>
          <w:b/>
          <w:bCs/>
        </w:rPr>
        <w:t>Operación en Bolsa:</w:t>
      </w:r>
      <w:r w:rsidRPr="00E95FF7">
        <w:t xml:space="preserve"> Transacción realizada dentro de los sistemas de una bolsa de valores bajo sus reglas de negociación.</w:t>
      </w:r>
    </w:p>
    <w:p w14:paraId="17D0CF0C" w14:textId="77777777" w:rsidR="00E95FF7" w:rsidRPr="00E95FF7" w:rsidRDefault="00E95FF7" w:rsidP="00E95FF7">
      <w:pPr>
        <w:numPr>
          <w:ilvl w:val="0"/>
          <w:numId w:val="2"/>
        </w:numPr>
      </w:pPr>
      <w:r w:rsidRPr="00E95FF7">
        <w:rPr>
          <w:b/>
          <w:bCs/>
        </w:rPr>
        <w:t>Custodia de Valores:</w:t>
      </w:r>
      <w:r w:rsidRPr="00E95FF7">
        <w:t xml:space="preserve"> Servicio de depósito y protección de los títulos financieros para asegurar su integridad y facilitar el ejercicio de derechos (como el cobro de dividendos).</w:t>
      </w:r>
    </w:p>
    <w:p w14:paraId="40A3D0BB" w14:textId="77777777" w:rsidR="00E95FF7" w:rsidRPr="00E95FF7" w:rsidRDefault="00E95FF7" w:rsidP="00E95FF7">
      <w:pPr>
        <w:numPr>
          <w:ilvl w:val="0"/>
          <w:numId w:val="2"/>
        </w:numPr>
      </w:pPr>
      <w:r w:rsidRPr="00E95FF7">
        <w:rPr>
          <w:b/>
          <w:bCs/>
        </w:rPr>
        <w:t>Derechos de Bolsa:</w:t>
      </w:r>
      <w:r w:rsidRPr="00E95FF7">
        <w:t xml:space="preserve"> Tarifas de uso que el intermediario traslada al cliente final por operar en el mercado bursátil.</w:t>
      </w:r>
    </w:p>
    <w:p w14:paraId="678B79D0" w14:textId="77777777" w:rsidR="00E95FF7" w:rsidRPr="00E95FF7" w:rsidRDefault="00E95FF7" w:rsidP="00E95FF7">
      <w:r w:rsidRPr="00E95FF7">
        <w:pict w14:anchorId="5E383215">
          <v:rect id="_x0000_i1064" style="width:0;height:1.5pt" o:hralign="center" o:hrstd="t" o:hr="t" fillcolor="#a0a0a0" stroked="f"/>
        </w:pict>
      </w:r>
    </w:p>
    <w:p w14:paraId="6CCCFF45" w14:textId="77777777" w:rsidR="00E95FF7" w:rsidRPr="00E95FF7" w:rsidRDefault="00E95FF7" w:rsidP="00E95FF7">
      <w:pPr>
        <w:rPr>
          <w:b/>
          <w:bCs/>
        </w:rPr>
      </w:pPr>
      <w:r w:rsidRPr="00E95FF7">
        <w:rPr>
          <w:b/>
          <w:bCs/>
        </w:rPr>
        <w:t>Conclusiones / Ideas Principales</w:t>
      </w:r>
    </w:p>
    <w:p w14:paraId="0F69EAB0" w14:textId="77777777" w:rsidR="00E95FF7" w:rsidRPr="00E95FF7" w:rsidRDefault="00E95FF7" w:rsidP="00E95FF7">
      <w:pPr>
        <w:numPr>
          <w:ilvl w:val="0"/>
          <w:numId w:val="3"/>
        </w:numPr>
      </w:pPr>
      <w:r w:rsidRPr="00E95FF7">
        <w:t xml:space="preserve">Los cobros de intermediación son </w:t>
      </w:r>
      <w:r w:rsidRPr="00E95FF7">
        <w:rPr>
          <w:b/>
          <w:bCs/>
        </w:rPr>
        <w:t>ineludibles</w:t>
      </w:r>
      <w:r w:rsidRPr="00E95FF7">
        <w:t xml:space="preserve"> en el mercado formal y deben ser considerados antes de calcular la rentabilidad proyectada de cualquier activo.</w:t>
      </w:r>
    </w:p>
    <w:p w14:paraId="6D5D15B6" w14:textId="77777777" w:rsidR="00E95FF7" w:rsidRPr="00E95FF7" w:rsidRDefault="00E95FF7" w:rsidP="00E95FF7">
      <w:pPr>
        <w:numPr>
          <w:ilvl w:val="0"/>
          <w:numId w:val="3"/>
        </w:numPr>
      </w:pPr>
      <w:r w:rsidRPr="00E95FF7">
        <w:lastRenderedPageBreak/>
        <w:t xml:space="preserve">Existe una </w:t>
      </w:r>
      <w:r w:rsidRPr="00E95FF7">
        <w:rPr>
          <w:b/>
          <w:bCs/>
        </w:rPr>
        <w:t>libertad comercial</w:t>
      </w:r>
      <w:r w:rsidRPr="00E95FF7">
        <w:t xml:space="preserve"> relativa, ya que cada corredor establece su propia política de comisiones, lo que permite al inversionista comparar y elegir la entidad más eficiente.</w:t>
      </w:r>
    </w:p>
    <w:p w14:paraId="2716D4AA" w14:textId="77777777" w:rsidR="00E95FF7" w:rsidRPr="00E95FF7" w:rsidRDefault="00E95FF7" w:rsidP="00E95FF7">
      <w:pPr>
        <w:numPr>
          <w:ilvl w:val="0"/>
          <w:numId w:val="3"/>
        </w:numPr>
      </w:pPr>
      <w:r w:rsidRPr="00E95FF7">
        <w:t xml:space="preserve">El </w:t>
      </w:r>
      <w:r w:rsidRPr="00E95FF7">
        <w:rPr>
          <w:b/>
          <w:bCs/>
        </w:rPr>
        <w:t>IVA</w:t>
      </w:r>
      <w:r w:rsidRPr="00E95FF7">
        <w:t xml:space="preserve"> no es un costo negociable, sino un componente impositivo que se deriva directamente del servicio de corretaje.</w:t>
      </w:r>
    </w:p>
    <w:p w14:paraId="31E946D0" w14:textId="77777777" w:rsidR="00E95FF7" w:rsidRPr="00E95FF7" w:rsidRDefault="00E95FF7" w:rsidP="00E95FF7">
      <w:r w:rsidRPr="00E95FF7">
        <w:pict w14:anchorId="2CE6475E">
          <v:rect id="_x0000_i1065" style="width:0;height:1.5pt" o:hralign="center" o:hrstd="t" o:hr="t" fillcolor="#a0a0a0" stroked="f"/>
        </w:pict>
      </w:r>
    </w:p>
    <w:p w14:paraId="5D4E7739" w14:textId="77777777" w:rsidR="00E95FF7" w:rsidRPr="00E95FF7" w:rsidRDefault="00E95FF7" w:rsidP="00E95FF7">
      <w:pPr>
        <w:rPr>
          <w:b/>
          <w:bCs/>
        </w:rPr>
      </w:pPr>
      <w:r w:rsidRPr="00E95FF7">
        <w:rPr>
          <w:b/>
          <w:bCs/>
        </w:rPr>
        <w:t>Supuestos, Riesgos o Consideraciones Relevantes</w:t>
      </w:r>
    </w:p>
    <w:p w14:paraId="2640A17F" w14:textId="77777777" w:rsidR="00E95FF7" w:rsidRPr="00E95FF7" w:rsidRDefault="00E95FF7" w:rsidP="00E95FF7">
      <w:pPr>
        <w:numPr>
          <w:ilvl w:val="0"/>
          <w:numId w:val="4"/>
        </w:numPr>
      </w:pPr>
      <w:r w:rsidRPr="00E95FF7">
        <w:rPr>
          <w:b/>
          <w:bCs/>
        </w:rPr>
        <w:t>Impacto en la Rentabilidad:</w:t>
      </w:r>
      <w:r w:rsidRPr="00E95FF7">
        <w:t xml:space="preserve"> Se asume que el inversionista comprende que los retornos brutos deben superar la suma de estos cuatro tipos de cobros para generar una ganancia neta real.</w:t>
      </w:r>
    </w:p>
    <w:p w14:paraId="18804C2C" w14:textId="77777777" w:rsidR="00E95FF7" w:rsidRPr="00E95FF7" w:rsidRDefault="00E95FF7" w:rsidP="00E95FF7">
      <w:pPr>
        <w:numPr>
          <w:ilvl w:val="0"/>
          <w:numId w:val="4"/>
        </w:numPr>
      </w:pPr>
      <w:r w:rsidRPr="00E95FF7">
        <w:rPr>
          <w:b/>
          <w:bCs/>
        </w:rPr>
        <w:t>Volatilidad de Tarifas:</w:t>
      </w:r>
      <w:r w:rsidRPr="00E95FF7">
        <w:t xml:space="preserve"> Dado que el costo de custodia y las comisiones son variables, el costo de mantener una inversión a largo plazo puede cambiar según el contrato con el intermediario.</w:t>
      </w:r>
    </w:p>
    <w:p w14:paraId="0CF6EEF5" w14:textId="77777777" w:rsidR="00E95FF7" w:rsidRPr="00E95FF7" w:rsidRDefault="00E95FF7" w:rsidP="00E95FF7">
      <w:r w:rsidRPr="00E95FF7">
        <w:pict w14:anchorId="194C9EAB">
          <v:rect id="_x0000_i1066" style="width:0;height:1.5pt" o:hralign="center" o:hrstd="t" o:hr="t" fillcolor="#a0a0a0" stroked="f"/>
        </w:pict>
      </w:r>
    </w:p>
    <w:p w14:paraId="7839DE9A" w14:textId="77777777" w:rsidR="00E95FF7" w:rsidRPr="00E95FF7" w:rsidRDefault="00E95FF7" w:rsidP="00E95FF7">
      <w:pPr>
        <w:rPr>
          <w:b/>
          <w:bCs/>
        </w:rPr>
      </w:pPr>
      <w:proofErr w:type="gramStart"/>
      <w:r w:rsidRPr="00E95FF7">
        <w:rPr>
          <w:b/>
          <w:bCs/>
        </w:rPr>
        <w:t>Puntos a Aclarar</w:t>
      </w:r>
      <w:proofErr w:type="gramEnd"/>
      <w:r w:rsidRPr="00E95FF7">
        <w:rPr>
          <w:b/>
          <w:bCs/>
        </w:rPr>
        <w:t xml:space="preserve"> o Información Faltante</w:t>
      </w:r>
    </w:p>
    <w:p w14:paraId="5F1DC396" w14:textId="77777777" w:rsidR="00E95FF7" w:rsidRPr="00E95FF7" w:rsidRDefault="00E95FF7" w:rsidP="00E95FF7">
      <w:pPr>
        <w:numPr>
          <w:ilvl w:val="0"/>
          <w:numId w:val="5"/>
        </w:numPr>
      </w:pPr>
      <w:r w:rsidRPr="00E95FF7">
        <w:rPr>
          <w:b/>
          <w:bCs/>
        </w:rPr>
        <w:t>Periodicidad de la Custodia:</w:t>
      </w:r>
      <w:r w:rsidRPr="00E95FF7">
        <w:t xml:space="preserve"> El texto no especifica si el costo de custodia se factura de forma mensual, trimestral o anual.</w:t>
      </w:r>
    </w:p>
    <w:p w14:paraId="13E54542" w14:textId="77777777" w:rsidR="00E95FF7" w:rsidRPr="00E95FF7" w:rsidRDefault="00E95FF7" w:rsidP="00E95FF7">
      <w:pPr>
        <w:numPr>
          <w:ilvl w:val="0"/>
          <w:numId w:val="5"/>
        </w:numPr>
      </w:pPr>
      <w:r w:rsidRPr="00E95FF7">
        <w:rPr>
          <w:b/>
          <w:bCs/>
        </w:rPr>
        <w:t>Base de Cálculo de Derechos de Bolsa:</w:t>
      </w:r>
      <w:r w:rsidRPr="00E95FF7">
        <w:t xml:space="preserve"> No se detalla si los derechos de bolsa son un monto fijo por operación o si también dependen proporcionalmente del monto transado.</w:t>
      </w:r>
    </w:p>
    <w:p w14:paraId="5D9EC0CD" w14:textId="77777777" w:rsidR="00E95FF7" w:rsidRPr="00E95FF7" w:rsidRDefault="00E95FF7" w:rsidP="00E95FF7">
      <w:pPr>
        <w:numPr>
          <w:ilvl w:val="0"/>
          <w:numId w:val="5"/>
        </w:numPr>
      </w:pPr>
      <w:r w:rsidRPr="00E95FF7">
        <w:rPr>
          <w:b/>
          <w:bCs/>
        </w:rPr>
        <w:t>Montos Mínimos:</w:t>
      </w:r>
      <w:r w:rsidRPr="00E95FF7">
        <w:t xml:space="preserve"> No se menciona si existen comisiones mínimas para transacciones de bajo volumen, lo cual es una práctica común en el mercado nacional.</w:t>
      </w:r>
    </w:p>
    <w:p w14:paraId="06857D62"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F58"/>
    <w:multiLevelType w:val="multilevel"/>
    <w:tmpl w:val="8F9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511"/>
    <w:multiLevelType w:val="multilevel"/>
    <w:tmpl w:val="E0F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F2F8C"/>
    <w:multiLevelType w:val="multilevel"/>
    <w:tmpl w:val="95600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2490D"/>
    <w:multiLevelType w:val="multilevel"/>
    <w:tmpl w:val="812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C14EB"/>
    <w:multiLevelType w:val="multilevel"/>
    <w:tmpl w:val="529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439440">
    <w:abstractNumId w:val="2"/>
  </w:num>
  <w:num w:numId="2" w16cid:durableId="1151867161">
    <w:abstractNumId w:val="3"/>
  </w:num>
  <w:num w:numId="3" w16cid:durableId="2087147284">
    <w:abstractNumId w:val="0"/>
  </w:num>
  <w:num w:numId="4" w16cid:durableId="1656304162">
    <w:abstractNumId w:val="4"/>
  </w:num>
  <w:num w:numId="5" w16cid:durableId="416096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3C"/>
    <w:rsid w:val="00071C90"/>
    <w:rsid w:val="000D1EDE"/>
    <w:rsid w:val="002716DC"/>
    <w:rsid w:val="0027733C"/>
    <w:rsid w:val="00320D26"/>
    <w:rsid w:val="00414AB1"/>
    <w:rsid w:val="006473F9"/>
    <w:rsid w:val="00736F93"/>
    <w:rsid w:val="00E95F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C672"/>
  <w15:chartTrackingRefBased/>
  <w15:docId w15:val="{5E8E44FE-678A-41EC-A611-B113720A1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7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7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7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7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7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7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7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7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7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7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7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7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7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7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7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7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7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733C"/>
    <w:rPr>
      <w:rFonts w:eastAsiaTheme="majorEastAsia" w:cstheme="majorBidi"/>
      <w:color w:val="272727" w:themeColor="text1" w:themeTint="D8"/>
    </w:rPr>
  </w:style>
  <w:style w:type="paragraph" w:styleId="Ttulo">
    <w:name w:val="Title"/>
    <w:basedOn w:val="Normal"/>
    <w:next w:val="Normal"/>
    <w:link w:val="TtuloCar"/>
    <w:uiPriority w:val="10"/>
    <w:qFormat/>
    <w:rsid w:val="00277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7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7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7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733C"/>
    <w:pPr>
      <w:spacing w:before="160"/>
      <w:jc w:val="center"/>
    </w:pPr>
    <w:rPr>
      <w:i/>
      <w:iCs/>
      <w:color w:val="404040" w:themeColor="text1" w:themeTint="BF"/>
    </w:rPr>
  </w:style>
  <w:style w:type="character" w:customStyle="1" w:styleId="CitaCar">
    <w:name w:val="Cita Car"/>
    <w:basedOn w:val="Fuentedeprrafopredeter"/>
    <w:link w:val="Cita"/>
    <w:uiPriority w:val="29"/>
    <w:rsid w:val="0027733C"/>
    <w:rPr>
      <w:i/>
      <w:iCs/>
      <w:color w:val="404040" w:themeColor="text1" w:themeTint="BF"/>
    </w:rPr>
  </w:style>
  <w:style w:type="paragraph" w:styleId="Prrafodelista">
    <w:name w:val="List Paragraph"/>
    <w:basedOn w:val="Normal"/>
    <w:uiPriority w:val="34"/>
    <w:qFormat/>
    <w:rsid w:val="0027733C"/>
    <w:pPr>
      <w:ind w:left="720"/>
      <w:contextualSpacing/>
    </w:pPr>
  </w:style>
  <w:style w:type="character" w:styleId="nfasisintenso">
    <w:name w:val="Intense Emphasis"/>
    <w:basedOn w:val="Fuentedeprrafopredeter"/>
    <w:uiPriority w:val="21"/>
    <w:qFormat/>
    <w:rsid w:val="0027733C"/>
    <w:rPr>
      <w:i/>
      <w:iCs/>
      <w:color w:val="0F4761" w:themeColor="accent1" w:themeShade="BF"/>
    </w:rPr>
  </w:style>
  <w:style w:type="paragraph" w:styleId="Citadestacada">
    <w:name w:val="Intense Quote"/>
    <w:basedOn w:val="Normal"/>
    <w:next w:val="Normal"/>
    <w:link w:val="CitadestacadaCar"/>
    <w:uiPriority w:val="30"/>
    <w:qFormat/>
    <w:rsid w:val="00277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733C"/>
    <w:rPr>
      <w:i/>
      <w:iCs/>
      <w:color w:val="0F4761" w:themeColor="accent1" w:themeShade="BF"/>
    </w:rPr>
  </w:style>
  <w:style w:type="character" w:styleId="Referenciaintensa">
    <w:name w:val="Intense Reference"/>
    <w:basedOn w:val="Fuentedeprrafopredeter"/>
    <w:uiPriority w:val="32"/>
    <w:qFormat/>
    <w:rsid w:val="00277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3718</Characters>
  <Application>Microsoft Office Word</Application>
  <DocSecurity>0</DocSecurity>
  <Lines>30</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2026-05-06T22:28:00Z</dcterms:created>
  <dcterms:modified xsi:type="dcterms:W3CDTF">2026-05-06T22:28:00Z</dcterms:modified>
</cp:coreProperties>
</file>