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362F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Cuenta Corriente Bancaria: Marco Operativo, Regulatorio y de Gestión de Riesgos</w:t>
      </w:r>
    </w:p>
    <w:p w14:paraId="03A0914E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Resumen Ejecutivo</w:t>
      </w:r>
    </w:p>
    <w:p w14:paraId="41F303D9" w14:textId="77777777" w:rsidR="002B3BFA" w:rsidRPr="002B3BFA" w:rsidRDefault="002B3BFA" w:rsidP="002B3BFA">
      <w:r w:rsidRPr="002B3BFA">
        <w:t xml:space="preserve">La cuenta corriente bancaria es un contrato de confianza que faculta al titular para disponer de sus fondos y de un cupo de crédito eventual mediante órdenes de pago. A diferencia de otros productos de depósito, su naturaleza es esencialmente transaccional y crediticia, permitiendo el uso de cheques y líneas de sobregiro. El funcionamiento de este producto está estrictamente regulado por el DFL </w:t>
      </w:r>
      <w:proofErr w:type="spellStart"/>
      <w:r w:rsidRPr="002B3BFA">
        <w:t>N°</w:t>
      </w:r>
      <w:proofErr w:type="spellEnd"/>
      <w:r w:rsidRPr="002B3BFA">
        <w:t xml:space="preserve"> 707 y la normativa de la Comisión para el Mercado Financiero (CMF), exigiendo requisitos de solvencia y formalidades contractuales tanto para su apertura como para su cierre.</w:t>
      </w:r>
    </w:p>
    <w:p w14:paraId="22E7839C" w14:textId="77777777" w:rsidR="002B3BFA" w:rsidRPr="002B3BFA" w:rsidRDefault="002B3BFA" w:rsidP="002B3BFA">
      <w:r w:rsidRPr="002B3BFA">
        <w:pict w14:anchorId="56BC3FC6">
          <v:rect id="_x0000_i1061" style="width:0;height:1.5pt" o:hralign="center" o:hrstd="t" o:hr="t" fillcolor="#a0a0a0" stroked="f"/>
        </w:pict>
      </w:r>
    </w:p>
    <w:p w14:paraId="26B0C11A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Contexto y Propósito del Documento</w:t>
      </w:r>
    </w:p>
    <w:p w14:paraId="65ECDC95" w14:textId="77777777" w:rsidR="002B3BFA" w:rsidRPr="002B3BFA" w:rsidRDefault="002B3BFA" w:rsidP="002B3BFA">
      <w:r w:rsidRPr="002B3BFA">
        <w:t>Este documento estructura las condiciones generales, procesos operativos y costos asociados a la cuenta corriente en Chile. Su propósito es servir como una guía técnica para la administración responsable de la liquidez bancaria, detallando las responsabilidades del cuentacorrentista, los mecanismos de crédito (sobregiros) y las medidas de seguridad necesarias para mitigar riesgos de fraude y contingencias legales por protestos.</w:t>
      </w:r>
    </w:p>
    <w:p w14:paraId="4AD72DAC" w14:textId="77777777" w:rsidR="002B3BFA" w:rsidRPr="002B3BFA" w:rsidRDefault="002B3BFA" w:rsidP="002B3BFA">
      <w:r w:rsidRPr="002B3BFA">
        <w:pict w14:anchorId="0EE77270">
          <v:rect id="_x0000_i1062" style="width:0;height:1.5pt" o:hralign="center" o:hrstd="t" o:hr="t" fillcolor="#a0a0a0" stroked="f"/>
        </w:pict>
      </w:r>
    </w:p>
    <w:p w14:paraId="3C000EC1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Desarrollo del Contenido</w:t>
      </w:r>
    </w:p>
    <w:p w14:paraId="6942D1D6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Sección 1: Definición y Naturaleza Contractual</w:t>
      </w:r>
    </w:p>
    <w:p w14:paraId="4378E2C6" w14:textId="77777777" w:rsidR="002B3BFA" w:rsidRPr="002B3BFA" w:rsidRDefault="002B3BFA" w:rsidP="002B3BFA">
      <w:r w:rsidRPr="002B3BFA">
        <w:t>La cuenta corriente se define como un contrato bilateral y de confianza en el cual el banco se compromete a ejecutar las órdenes de pago del cliente.</w:t>
      </w:r>
    </w:p>
    <w:p w14:paraId="0FA08C37" w14:textId="77777777" w:rsidR="002B3BFA" w:rsidRPr="002B3BFA" w:rsidRDefault="002B3BFA" w:rsidP="002B3BFA">
      <w:pPr>
        <w:numPr>
          <w:ilvl w:val="0"/>
          <w:numId w:val="1"/>
        </w:numPr>
      </w:pPr>
      <w:r w:rsidRPr="002B3BFA">
        <w:rPr>
          <w:b/>
          <w:bCs/>
        </w:rPr>
        <w:t>Capacidad de Giro:</w:t>
      </w:r>
      <w:r w:rsidRPr="002B3BFA">
        <w:t xml:space="preserve"> El titular puede disponer de fondos mediante cheques, tarjetas de débito o transferencias electrónicas.</w:t>
      </w:r>
    </w:p>
    <w:p w14:paraId="1D2FDBFF" w14:textId="77777777" w:rsidR="002B3BFA" w:rsidRPr="002B3BFA" w:rsidRDefault="002B3BFA" w:rsidP="002B3BFA">
      <w:pPr>
        <w:numPr>
          <w:ilvl w:val="0"/>
          <w:numId w:val="1"/>
        </w:numPr>
      </w:pPr>
      <w:r w:rsidRPr="002B3BFA">
        <w:rPr>
          <w:b/>
          <w:bCs/>
        </w:rPr>
        <w:t>Límite Operativo:</w:t>
      </w:r>
      <w:r w:rsidRPr="002B3BFA">
        <w:t xml:space="preserve"> La ejecución de pagos está sujeta a la concurrencia de los fondos depositados más el margen de crédito estipulado (Línea de Crédito).</w:t>
      </w:r>
    </w:p>
    <w:p w14:paraId="50177A16" w14:textId="77777777" w:rsidR="002B3BFA" w:rsidRPr="002B3BFA" w:rsidRDefault="002B3BFA" w:rsidP="002B3BFA">
      <w:pPr>
        <w:numPr>
          <w:ilvl w:val="0"/>
          <w:numId w:val="1"/>
        </w:numPr>
      </w:pPr>
      <w:r w:rsidRPr="002B3BFA">
        <w:rPr>
          <w:b/>
          <w:bCs/>
        </w:rPr>
        <w:t>Marco Legal:</w:t>
      </w:r>
      <w:r w:rsidRPr="002B3BFA">
        <w:t xml:space="preserve"> Regulada principalmente por el </w:t>
      </w:r>
      <w:r w:rsidRPr="002B3BFA">
        <w:rPr>
          <w:b/>
          <w:bCs/>
        </w:rPr>
        <w:t xml:space="preserve">DFL </w:t>
      </w:r>
      <w:proofErr w:type="spellStart"/>
      <w:r w:rsidRPr="002B3BFA">
        <w:rPr>
          <w:b/>
          <w:bCs/>
        </w:rPr>
        <w:t>N°</w:t>
      </w:r>
      <w:proofErr w:type="spellEnd"/>
      <w:r w:rsidRPr="002B3BFA">
        <w:rPr>
          <w:b/>
          <w:bCs/>
        </w:rPr>
        <w:t xml:space="preserve"> 707</w:t>
      </w:r>
      <w:r w:rsidRPr="002B3BFA">
        <w:t xml:space="preserve"> y el Capítulo 2-2 de la Recopilación Actualizada de Normas de la CMF.</w:t>
      </w:r>
    </w:p>
    <w:p w14:paraId="2FB37D87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Sección 2: Protocolos de Apertura y Requisitos de Solvencia</w:t>
      </w:r>
    </w:p>
    <w:p w14:paraId="13E36E3A" w14:textId="77777777" w:rsidR="002B3BFA" w:rsidRPr="002B3BFA" w:rsidRDefault="002B3BFA" w:rsidP="002B3BFA">
      <w:r w:rsidRPr="002B3BFA">
        <w:t>La apertura es un acto de mutuo acuerdo que requiere una evaluación de riesgo por parte de la institución.</w:t>
      </w:r>
    </w:p>
    <w:p w14:paraId="170853CE" w14:textId="77777777" w:rsidR="002B3BFA" w:rsidRPr="002B3BFA" w:rsidRDefault="002B3BFA" w:rsidP="002B3BFA">
      <w:pPr>
        <w:numPr>
          <w:ilvl w:val="0"/>
          <w:numId w:val="2"/>
        </w:numPr>
      </w:pPr>
      <w:r w:rsidRPr="002B3BFA">
        <w:rPr>
          <w:b/>
          <w:bCs/>
        </w:rPr>
        <w:lastRenderedPageBreak/>
        <w:t>Personas Naturales:</w:t>
      </w:r>
    </w:p>
    <w:p w14:paraId="3583CA2C" w14:textId="77777777" w:rsidR="002B3BFA" w:rsidRPr="002B3BFA" w:rsidRDefault="002B3BFA" w:rsidP="002B3BFA">
      <w:pPr>
        <w:numPr>
          <w:ilvl w:val="1"/>
          <w:numId w:val="2"/>
        </w:numPr>
      </w:pPr>
      <w:r w:rsidRPr="002B3BFA">
        <w:t>Acreditación de identidad, fotografía y registro de firma.</w:t>
      </w:r>
    </w:p>
    <w:p w14:paraId="1BEFC6A3" w14:textId="77777777" w:rsidR="002B3BFA" w:rsidRPr="002B3BFA" w:rsidRDefault="002B3BFA" w:rsidP="002B3BFA">
      <w:pPr>
        <w:numPr>
          <w:ilvl w:val="1"/>
          <w:numId w:val="2"/>
        </w:numPr>
      </w:pPr>
      <w:r w:rsidRPr="002B3BFA">
        <w:t>Impresión digital (pulgar derecho) y registro de domicilio.</w:t>
      </w:r>
    </w:p>
    <w:p w14:paraId="58A42E16" w14:textId="77777777" w:rsidR="002B3BFA" w:rsidRPr="002B3BFA" w:rsidRDefault="002B3BFA" w:rsidP="002B3BFA">
      <w:pPr>
        <w:numPr>
          <w:ilvl w:val="1"/>
          <w:numId w:val="2"/>
        </w:numPr>
      </w:pPr>
      <w:r w:rsidRPr="002B3BFA">
        <w:rPr>
          <w:b/>
          <w:bCs/>
        </w:rPr>
        <w:t>Evaluación Financiera:</w:t>
      </w:r>
      <w:r w:rsidRPr="002B3BFA">
        <w:t xml:space="preserve"> Antecedentes de actividad, bienes, deudas e informes bancarios para acreditar solvencia.</w:t>
      </w:r>
    </w:p>
    <w:p w14:paraId="2D88D7C9" w14:textId="77777777" w:rsidR="002B3BFA" w:rsidRPr="002B3BFA" w:rsidRDefault="002B3BFA" w:rsidP="002B3BFA">
      <w:pPr>
        <w:numPr>
          <w:ilvl w:val="0"/>
          <w:numId w:val="2"/>
        </w:numPr>
      </w:pPr>
      <w:r w:rsidRPr="002B3BFA">
        <w:rPr>
          <w:b/>
          <w:bCs/>
        </w:rPr>
        <w:t>Personas Jurídicas:</w:t>
      </w:r>
    </w:p>
    <w:p w14:paraId="75CB1308" w14:textId="77777777" w:rsidR="002B3BFA" w:rsidRPr="002B3BFA" w:rsidRDefault="002B3BFA" w:rsidP="002B3BFA">
      <w:pPr>
        <w:numPr>
          <w:ilvl w:val="1"/>
          <w:numId w:val="2"/>
        </w:numPr>
      </w:pPr>
      <w:r w:rsidRPr="002B3BFA">
        <w:t>Verificación de la constitución legal y facultades de los representantes.</w:t>
      </w:r>
    </w:p>
    <w:p w14:paraId="0AA61205" w14:textId="77777777" w:rsidR="002B3BFA" w:rsidRPr="002B3BFA" w:rsidRDefault="002B3BFA" w:rsidP="002B3BFA">
      <w:pPr>
        <w:numPr>
          <w:ilvl w:val="1"/>
          <w:numId w:val="2"/>
        </w:numPr>
      </w:pPr>
      <w:r w:rsidRPr="002B3BFA">
        <w:t>Cumplimiento de los requisitos de identidad para los apoderados y representantes legales.</w:t>
      </w:r>
    </w:p>
    <w:p w14:paraId="200E03E3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Sección 3: El Sobregiro y la Línea de Crédito</w:t>
      </w:r>
    </w:p>
    <w:p w14:paraId="54B7EC89" w14:textId="77777777" w:rsidR="002B3BFA" w:rsidRPr="002B3BFA" w:rsidRDefault="002B3BFA" w:rsidP="002B3BFA">
      <w:r w:rsidRPr="002B3BFA">
        <w:t>El sobregiro ocurre cuando se autorizan pagos sin fondos disponibles en la cuenta, constituyendo un crédito otorgado por el banco.</w:t>
      </w:r>
    </w:p>
    <w:p w14:paraId="2EFA3224" w14:textId="77777777" w:rsidR="002B3BFA" w:rsidRPr="002B3BFA" w:rsidRDefault="002B3BFA" w:rsidP="002B3BFA">
      <w:pPr>
        <w:numPr>
          <w:ilvl w:val="0"/>
          <w:numId w:val="3"/>
        </w:numPr>
      </w:pPr>
      <w:r w:rsidRPr="002B3BFA">
        <w:rPr>
          <w:b/>
          <w:bCs/>
        </w:rPr>
        <w:t>Sobregiro Pactado:</w:t>
      </w:r>
      <w:r w:rsidRPr="002B3BFA">
        <w:t xml:space="preserve"> Utilización de la Línea de Crédito previamente contratada.</w:t>
      </w:r>
    </w:p>
    <w:p w14:paraId="4F6257E8" w14:textId="77777777" w:rsidR="002B3BFA" w:rsidRPr="002B3BFA" w:rsidRDefault="002B3BFA" w:rsidP="002B3BFA">
      <w:pPr>
        <w:numPr>
          <w:ilvl w:val="0"/>
          <w:numId w:val="3"/>
        </w:numPr>
      </w:pPr>
      <w:r w:rsidRPr="002B3BFA">
        <w:rPr>
          <w:b/>
          <w:bCs/>
        </w:rPr>
        <w:t>Sobregiro Sin Pacto Previo:</w:t>
      </w:r>
      <w:r w:rsidRPr="002B3BFA">
        <w:t xml:space="preserve"> Crédito contingente otorgado por la sola voluntad del banco ante una operación especial o falta de fondos/cupo. En ausencia de este, el banco está facultado para protestar el documento (cheque).</w:t>
      </w:r>
    </w:p>
    <w:p w14:paraId="0AD34E67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Sección 4: Estructura de Costos y Régimen Tributario</w:t>
      </w:r>
    </w:p>
    <w:p w14:paraId="67738734" w14:textId="77777777" w:rsidR="002B3BFA" w:rsidRPr="002B3BFA" w:rsidRDefault="002B3BFA" w:rsidP="002B3BFA">
      <w:r w:rsidRPr="002B3BFA">
        <w:t>El mantenimiento de la cuenta y sus productos asociados genera costos que el banco fija libremente bajo criterios de no discriminación.</w:t>
      </w:r>
    </w:p>
    <w:p w14:paraId="5616C229" w14:textId="77777777" w:rsidR="002B3BFA" w:rsidRPr="002B3BFA" w:rsidRDefault="002B3BFA" w:rsidP="002B3BFA">
      <w:pPr>
        <w:numPr>
          <w:ilvl w:val="0"/>
          <w:numId w:val="4"/>
        </w:numPr>
      </w:pPr>
      <w:r w:rsidRPr="002B3BFA">
        <w:rPr>
          <w:b/>
          <w:bCs/>
        </w:rPr>
        <w:t>Comisiones:</w:t>
      </w:r>
      <w:r w:rsidRPr="002B3BFA">
        <w:t xml:space="preserve"> Cargos por mantención (según saldo promedio), renovación de líneas de crédito, seguros de desgravamen y servicios especiales (copias de documentos o cartolas).</w:t>
      </w:r>
    </w:p>
    <w:p w14:paraId="42238ACB" w14:textId="77777777" w:rsidR="002B3BFA" w:rsidRPr="002B3BFA" w:rsidRDefault="002B3BFA" w:rsidP="002B3BFA">
      <w:pPr>
        <w:numPr>
          <w:ilvl w:val="0"/>
          <w:numId w:val="4"/>
        </w:numPr>
      </w:pPr>
      <w:r w:rsidRPr="002B3BFA">
        <w:rPr>
          <w:b/>
          <w:bCs/>
        </w:rPr>
        <w:t xml:space="preserve">Impuesto de Timbres y Estampillas (DL </w:t>
      </w:r>
      <w:proofErr w:type="spellStart"/>
      <w:r w:rsidRPr="002B3BFA">
        <w:rPr>
          <w:b/>
          <w:bCs/>
        </w:rPr>
        <w:t>N°</w:t>
      </w:r>
      <w:proofErr w:type="spellEnd"/>
      <w:r w:rsidRPr="002B3BFA">
        <w:rPr>
          <w:b/>
          <w:bCs/>
        </w:rPr>
        <w:t xml:space="preserve"> 3.475):</w:t>
      </w:r>
    </w:p>
    <w:p w14:paraId="689056CD" w14:textId="77777777" w:rsidR="002B3BFA" w:rsidRPr="002B3BFA" w:rsidRDefault="002B3BFA" w:rsidP="002B3BFA">
      <w:pPr>
        <w:numPr>
          <w:ilvl w:val="1"/>
          <w:numId w:val="4"/>
        </w:numPr>
      </w:pPr>
      <w:r w:rsidRPr="002B3BFA">
        <w:rPr>
          <w:b/>
          <w:bCs/>
        </w:rPr>
        <w:t>Exenciones:</w:t>
      </w:r>
      <w:r w:rsidRPr="002B3BFA">
        <w:t xml:space="preserve"> Los cheques, giros en cajero y transferencias electrónicas están exentos de este impuesto desde 2008.</w:t>
      </w:r>
    </w:p>
    <w:p w14:paraId="045ED423" w14:textId="77777777" w:rsidR="002B3BFA" w:rsidRPr="002B3BFA" w:rsidRDefault="002B3BFA" w:rsidP="002B3BFA">
      <w:pPr>
        <w:numPr>
          <w:ilvl w:val="1"/>
          <w:numId w:val="4"/>
        </w:numPr>
      </w:pPr>
      <w:r w:rsidRPr="002B3BFA">
        <w:rPr>
          <w:b/>
          <w:bCs/>
        </w:rPr>
        <w:t>Protestos:</w:t>
      </w:r>
      <w:r w:rsidRPr="002B3BFA">
        <w:t xml:space="preserve"> El protesto de cheques por falta de fondos está gravado con el </w:t>
      </w:r>
      <w:r w:rsidRPr="002B3BFA">
        <w:rPr>
          <w:b/>
          <w:bCs/>
        </w:rPr>
        <w:t>1% del monto del cheque</w:t>
      </w:r>
      <w:r w:rsidRPr="002B3BFA">
        <w:t xml:space="preserve">, con un mínimo de </w:t>
      </w:r>
      <w:r w:rsidRPr="002B3BFA">
        <w:rPr>
          <w:b/>
          <w:bCs/>
        </w:rPr>
        <w:t>$3.927</w:t>
      </w:r>
      <w:r w:rsidRPr="002B3BFA">
        <w:t xml:space="preserve"> y un máximo de </w:t>
      </w:r>
      <w:r w:rsidRPr="002B3BFA">
        <w:rPr>
          <w:b/>
          <w:bCs/>
        </w:rPr>
        <w:t>1 UTM</w:t>
      </w:r>
      <w:r w:rsidRPr="002B3BFA">
        <w:t>.</w:t>
      </w:r>
    </w:p>
    <w:p w14:paraId="44FCF824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Sección 5: Protocolo de Cierre y Seguridad</w:t>
      </w:r>
    </w:p>
    <w:p w14:paraId="37C8441C" w14:textId="77777777" w:rsidR="002B3BFA" w:rsidRPr="002B3BFA" w:rsidRDefault="002B3BFA" w:rsidP="002B3BFA">
      <w:pPr>
        <w:numPr>
          <w:ilvl w:val="0"/>
          <w:numId w:val="5"/>
        </w:numPr>
      </w:pPr>
      <w:r w:rsidRPr="002B3BFA">
        <w:rPr>
          <w:b/>
          <w:bCs/>
        </w:rPr>
        <w:lastRenderedPageBreak/>
        <w:t>Cierre del Producto:</w:t>
      </w:r>
      <w:r w:rsidRPr="002B3BFA">
        <w:t xml:space="preserve"> Puede ser solicitado unilateralmente. El banco tiene un plazo de </w:t>
      </w:r>
      <w:r w:rsidRPr="002B3BFA">
        <w:rPr>
          <w:b/>
          <w:bCs/>
        </w:rPr>
        <w:t>2 días hábiles</w:t>
      </w:r>
      <w:r w:rsidRPr="002B3BFA">
        <w:t xml:space="preserve"> para materializar el cierre tras la solicitud escrita. El cliente debe provisionar fondos para cheques pendientes y cancelar pagos automáticos (PAC).</w:t>
      </w:r>
    </w:p>
    <w:p w14:paraId="18E9C782" w14:textId="77777777" w:rsidR="002B3BFA" w:rsidRPr="002B3BFA" w:rsidRDefault="002B3BFA" w:rsidP="002B3BFA">
      <w:pPr>
        <w:numPr>
          <w:ilvl w:val="0"/>
          <w:numId w:val="5"/>
        </w:numPr>
      </w:pPr>
      <w:r w:rsidRPr="002B3BFA">
        <w:rPr>
          <w:b/>
          <w:bCs/>
        </w:rPr>
        <w:t>Seguridad Digital:</w:t>
      </w:r>
      <w:r w:rsidRPr="002B3BFA">
        <w:t xml:space="preserve"> Uso de redes confiables, verificación de protocolo HTTPS, custodia de claves y tarjetas de coordenadas, y cierre formal de sesión.</w:t>
      </w:r>
    </w:p>
    <w:p w14:paraId="5B9777D4" w14:textId="77777777" w:rsidR="002B3BFA" w:rsidRPr="002B3BFA" w:rsidRDefault="002B3BFA" w:rsidP="002B3BFA">
      <w:r w:rsidRPr="002B3BFA">
        <w:pict w14:anchorId="601DEE8E">
          <v:rect id="_x0000_i1063" style="width:0;height:1.5pt" o:hralign="center" o:hrstd="t" o:hr="t" fillcolor="#a0a0a0" stroked="f"/>
        </w:pict>
      </w:r>
    </w:p>
    <w:p w14:paraId="5CDCE34B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Conceptos Financieros Clave</w:t>
      </w:r>
    </w:p>
    <w:p w14:paraId="2108A7F0" w14:textId="77777777" w:rsidR="002B3BFA" w:rsidRPr="002B3BFA" w:rsidRDefault="002B3BFA" w:rsidP="002B3BFA">
      <w:pPr>
        <w:numPr>
          <w:ilvl w:val="0"/>
          <w:numId w:val="6"/>
        </w:numPr>
      </w:pPr>
      <w:r w:rsidRPr="002B3BFA">
        <w:rPr>
          <w:b/>
          <w:bCs/>
        </w:rPr>
        <w:t>Contrato de Confianza:</w:t>
      </w:r>
      <w:r w:rsidRPr="002B3BFA">
        <w:t xml:space="preserve"> Acuerdo donde la solvencia e integridad del cliente son pilares para la prestación del servicio.</w:t>
      </w:r>
    </w:p>
    <w:p w14:paraId="641F670B" w14:textId="77777777" w:rsidR="002B3BFA" w:rsidRPr="002B3BFA" w:rsidRDefault="002B3BFA" w:rsidP="002B3BFA">
      <w:pPr>
        <w:numPr>
          <w:ilvl w:val="0"/>
          <w:numId w:val="6"/>
        </w:numPr>
      </w:pPr>
      <w:r w:rsidRPr="002B3BFA">
        <w:rPr>
          <w:b/>
          <w:bCs/>
        </w:rPr>
        <w:t>Orden de Pago:</w:t>
      </w:r>
      <w:r w:rsidRPr="002B3BFA">
        <w:t xml:space="preserve"> Instrucción del titular (cheque o transferencia) para movilizar fondos.</w:t>
      </w:r>
    </w:p>
    <w:p w14:paraId="23C10E6E" w14:textId="77777777" w:rsidR="002B3BFA" w:rsidRPr="002B3BFA" w:rsidRDefault="002B3BFA" w:rsidP="002B3BFA">
      <w:pPr>
        <w:numPr>
          <w:ilvl w:val="0"/>
          <w:numId w:val="6"/>
        </w:numPr>
      </w:pPr>
      <w:r w:rsidRPr="002B3BFA">
        <w:rPr>
          <w:b/>
          <w:bCs/>
        </w:rPr>
        <w:t>Línea de Crédito:</w:t>
      </w:r>
      <w:r w:rsidRPr="002B3BFA">
        <w:t xml:space="preserve"> Cupo de financiamiento automático asociado a la cuenta corriente.</w:t>
      </w:r>
    </w:p>
    <w:p w14:paraId="405347FC" w14:textId="77777777" w:rsidR="002B3BFA" w:rsidRPr="002B3BFA" w:rsidRDefault="002B3BFA" w:rsidP="002B3BFA">
      <w:pPr>
        <w:numPr>
          <w:ilvl w:val="0"/>
          <w:numId w:val="6"/>
        </w:numPr>
      </w:pPr>
      <w:r w:rsidRPr="002B3BFA">
        <w:rPr>
          <w:b/>
          <w:bCs/>
        </w:rPr>
        <w:t>Protesto:</w:t>
      </w:r>
      <w:r w:rsidRPr="002B3BFA">
        <w:t xml:space="preserve"> Acto legal mediante el cual el banco deja constancia de que un cheque no fue pagado, generalmente por falta de fondos.</w:t>
      </w:r>
    </w:p>
    <w:p w14:paraId="55FD66F6" w14:textId="77777777" w:rsidR="002B3BFA" w:rsidRPr="002B3BFA" w:rsidRDefault="002B3BFA" w:rsidP="002B3BFA">
      <w:r w:rsidRPr="002B3BFA">
        <w:pict w14:anchorId="77559C71">
          <v:rect id="_x0000_i1064" style="width:0;height:1.5pt" o:hralign="center" o:hrstd="t" o:hr="t" fillcolor="#a0a0a0" stroked="f"/>
        </w:pict>
      </w:r>
    </w:p>
    <w:p w14:paraId="7563D217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Conclusiones / Ideas Principales</w:t>
      </w:r>
    </w:p>
    <w:p w14:paraId="117FBDAF" w14:textId="77777777" w:rsidR="002B3BFA" w:rsidRPr="002B3BFA" w:rsidRDefault="002B3BFA" w:rsidP="002B3BFA">
      <w:pPr>
        <w:numPr>
          <w:ilvl w:val="0"/>
          <w:numId w:val="7"/>
        </w:numPr>
      </w:pPr>
      <w:r w:rsidRPr="002B3BFA">
        <w:t xml:space="preserve">La cuenta corriente es la herramienta de gestión de efectivo más versátil, pero requiere </w:t>
      </w:r>
      <w:r w:rsidRPr="002B3BFA">
        <w:rPr>
          <w:b/>
          <w:bCs/>
        </w:rPr>
        <w:t>monitoreo constante de saldos</w:t>
      </w:r>
      <w:r w:rsidRPr="002B3BFA">
        <w:t xml:space="preserve"> para evitar costos por sobregiros no pactados o impuestos por protestos.</w:t>
      </w:r>
    </w:p>
    <w:p w14:paraId="6C9CA9D4" w14:textId="77777777" w:rsidR="002B3BFA" w:rsidRPr="002B3BFA" w:rsidRDefault="002B3BFA" w:rsidP="002B3BFA">
      <w:pPr>
        <w:numPr>
          <w:ilvl w:val="0"/>
          <w:numId w:val="7"/>
        </w:numPr>
      </w:pPr>
      <w:r w:rsidRPr="002B3BFA">
        <w:t xml:space="preserve">La </w:t>
      </w:r>
      <w:r w:rsidRPr="002B3BFA">
        <w:rPr>
          <w:b/>
          <w:bCs/>
        </w:rPr>
        <w:t>comunicación del domicilio</w:t>
      </w:r>
      <w:r w:rsidRPr="002B3BFA">
        <w:t xml:space="preserve"> es una obligación contractual crítica para recibir notificaciones sobre cambios en las comisiones.</w:t>
      </w:r>
    </w:p>
    <w:p w14:paraId="512C2040" w14:textId="77777777" w:rsidR="002B3BFA" w:rsidRPr="002B3BFA" w:rsidRDefault="002B3BFA" w:rsidP="002B3BFA">
      <w:pPr>
        <w:numPr>
          <w:ilvl w:val="0"/>
          <w:numId w:val="7"/>
        </w:numPr>
      </w:pPr>
      <w:r w:rsidRPr="002B3BFA">
        <w:t xml:space="preserve">El cierre de la cuenta no se ve impedido por deudas pendientes, pero exige una </w:t>
      </w:r>
      <w:r w:rsidRPr="002B3BFA">
        <w:rPr>
          <w:b/>
          <w:bCs/>
        </w:rPr>
        <w:t>provisión de fondos</w:t>
      </w:r>
      <w:r w:rsidRPr="002B3BFA">
        <w:t xml:space="preserve"> responsable para documentos en tránsito.</w:t>
      </w:r>
    </w:p>
    <w:p w14:paraId="24DE295E" w14:textId="77777777" w:rsidR="002B3BFA" w:rsidRPr="002B3BFA" w:rsidRDefault="002B3BFA" w:rsidP="002B3BFA">
      <w:r w:rsidRPr="002B3BFA">
        <w:pict w14:anchorId="2A5F999B">
          <v:rect id="_x0000_i1065" style="width:0;height:1.5pt" o:hralign="center" o:hrstd="t" o:hr="t" fillcolor="#a0a0a0" stroked="f"/>
        </w:pict>
      </w:r>
    </w:p>
    <w:p w14:paraId="79E5C71F" w14:textId="77777777" w:rsidR="002B3BFA" w:rsidRPr="002B3BFA" w:rsidRDefault="002B3BFA" w:rsidP="002B3BFA">
      <w:pPr>
        <w:rPr>
          <w:b/>
          <w:bCs/>
        </w:rPr>
      </w:pPr>
      <w:r w:rsidRPr="002B3BFA">
        <w:rPr>
          <w:b/>
          <w:bCs/>
        </w:rPr>
        <w:t>Supuestos, Riesgos o Consideraciones Relevantes</w:t>
      </w:r>
    </w:p>
    <w:p w14:paraId="7F14F781" w14:textId="77777777" w:rsidR="002B3BFA" w:rsidRPr="002B3BFA" w:rsidRDefault="002B3BFA" w:rsidP="002B3BFA">
      <w:pPr>
        <w:numPr>
          <w:ilvl w:val="0"/>
          <w:numId w:val="8"/>
        </w:numPr>
      </w:pPr>
      <w:r w:rsidRPr="002B3BFA">
        <w:rPr>
          <w:b/>
          <w:bCs/>
        </w:rPr>
        <w:t>Riesgo Legal y Reputacional:</w:t>
      </w:r>
      <w:r w:rsidRPr="002B3BFA">
        <w:t xml:space="preserve"> El protesto de cheques por falta de fondos conlleva sanciones pecuniarias (impuestos) y afecta la solvencia registrada en el sistema financiero.</w:t>
      </w:r>
    </w:p>
    <w:p w14:paraId="62680AD2" w14:textId="77777777" w:rsidR="002B3BFA" w:rsidRPr="002B3BFA" w:rsidRDefault="002B3BFA" w:rsidP="002B3BFA">
      <w:pPr>
        <w:numPr>
          <w:ilvl w:val="0"/>
          <w:numId w:val="8"/>
        </w:numPr>
      </w:pPr>
      <w:r w:rsidRPr="002B3BFA">
        <w:rPr>
          <w:b/>
          <w:bCs/>
        </w:rPr>
        <w:lastRenderedPageBreak/>
        <w:t>Riesgo de Tasa:</w:t>
      </w:r>
      <w:r w:rsidRPr="002B3BFA">
        <w:t xml:space="preserve"> El uso del sobregiro implica el devengo de intereses que pueden encarecer significativamente el costo de mantención si no se cubren a la brevedad.</w:t>
      </w:r>
    </w:p>
    <w:p w14:paraId="4C73F6FA" w14:textId="77777777" w:rsidR="002B3BFA" w:rsidRPr="002B3BFA" w:rsidRDefault="002B3BFA" w:rsidP="002B3BFA">
      <w:pPr>
        <w:numPr>
          <w:ilvl w:val="0"/>
          <w:numId w:val="8"/>
        </w:numPr>
      </w:pPr>
      <w:r w:rsidRPr="002B3BFA">
        <w:rPr>
          <w:b/>
          <w:bCs/>
        </w:rPr>
        <w:t>Discriminación:</w:t>
      </w:r>
      <w:r w:rsidRPr="002B3BFA">
        <w:t xml:space="preserve"> Los bancos pueden fijar tarifas libremente, pero tienen la prohibición legal de discriminar entre clientes en situaciones equivalentes.</w:t>
      </w:r>
    </w:p>
    <w:p w14:paraId="17D6A2C0" w14:textId="77777777" w:rsidR="002B3BFA" w:rsidRPr="002B3BFA" w:rsidRDefault="002B3BFA" w:rsidP="002B3BFA">
      <w:r w:rsidRPr="002B3BFA">
        <w:pict w14:anchorId="3094A135">
          <v:rect id="_x0000_i1066" style="width:0;height:1.5pt" o:hralign="center" o:hrstd="t" o:hr="t" fillcolor="#a0a0a0" stroked="f"/>
        </w:pict>
      </w:r>
    </w:p>
    <w:p w14:paraId="202E4FA2" w14:textId="77777777" w:rsidR="002B3BFA" w:rsidRPr="002B3BFA" w:rsidRDefault="002B3BFA" w:rsidP="002B3BFA">
      <w:pPr>
        <w:rPr>
          <w:b/>
          <w:bCs/>
        </w:rPr>
      </w:pPr>
      <w:proofErr w:type="gramStart"/>
      <w:r w:rsidRPr="002B3BFA">
        <w:rPr>
          <w:b/>
          <w:bCs/>
        </w:rPr>
        <w:t>Puntos a Aclarar</w:t>
      </w:r>
      <w:proofErr w:type="gramEnd"/>
      <w:r w:rsidRPr="002B3BFA">
        <w:rPr>
          <w:b/>
          <w:bCs/>
        </w:rPr>
        <w:t xml:space="preserve"> o Información Faltante</w:t>
      </w:r>
    </w:p>
    <w:p w14:paraId="2BB1AFF4" w14:textId="77777777" w:rsidR="002B3BFA" w:rsidRPr="002B3BFA" w:rsidRDefault="002B3BFA" w:rsidP="002B3BFA">
      <w:pPr>
        <w:numPr>
          <w:ilvl w:val="0"/>
          <w:numId w:val="9"/>
        </w:numPr>
      </w:pPr>
      <w:r w:rsidRPr="002B3BFA">
        <w:rPr>
          <w:b/>
          <w:bCs/>
        </w:rPr>
        <w:t>Valores de Impuestos:</w:t>
      </w:r>
      <w:r w:rsidRPr="002B3BFA">
        <w:t xml:space="preserve"> Los montos fijos (como los </w:t>
      </w:r>
      <w:r w:rsidRPr="002B3BFA">
        <w:rPr>
          <w:b/>
          <w:bCs/>
        </w:rPr>
        <w:t>$3.927</w:t>
      </w:r>
      <w:r w:rsidRPr="002B3BFA">
        <w:t>) y las UTM son valores que se reajustan periódicamente; el documento original no especifica la fecha de vigencia de estos montos.</w:t>
      </w:r>
    </w:p>
    <w:p w14:paraId="5AB7DCA9" w14:textId="77777777" w:rsidR="002B3BFA" w:rsidRPr="002B3BFA" w:rsidRDefault="002B3BFA" w:rsidP="002B3BFA">
      <w:pPr>
        <w:numPr>
          <w:ilvl w:val="0"/>
          <w:numId w:val="9"/>
        </w:numPr>
      </w:pPr>
      <w:r w:rsidRPr="002B3BFA">
        <w:rPr>
          <w:b/>
          <w:bCs/>
        </w:rPr>
        <w:t>Diferencia con Cuenta Vista:</w:t>
      </w:r>
      <w:r w:rsidRPr="002B3BFA">
        <w:t xml:space="preserve"> No se explicita la diferencia en la protección de fondos o prioridades de pago frente a otros productos de depósito.</w:t>
      </w:r>
    </w:p>
    <w:p w14:paraId="5A992200" w14:textId="77777777" w:rsidR="002B3BFA" w:rsidRPr="002B3BFA" w:rsidRDefault="002B3BFA" w:rsidP="002B3BFA">
      <w:pPr>
        <w:numPr>
          <w:ilvl w:val="0"/>
          <w:numId w:val="9"/>
        </w:numPr>
      </w:pPr>
      <w:r w:rsidRPr="002B3BFA">
        <w:rPr>
          <w:b/>
          <w:bCs/>
        </w:rPr>
        <w:t>Procedimiento de Protesto:</w:t>
      </w:r>
      <w:r w:rsidRPr="002B3BFA">
        <w:t xml:space="preserve"> Falta detalle sobre el proceso de aclaración de cheques protestados una vez pagada la deuda.</w:t>
      </w:r>
    </w:p>
    <w:p w14:paraId="61AF8579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712"/>
    <w:multiLevelType w:val="multilevel"/>
    <w:tmpl w:val="2A1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5DD6"/>
    <w:multiLevelType w:val="multilevel"/>
    <w:tmpl w:val="367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E0298"/>
    <w:multiLevelType w:val="multilevel"/>
    <w:tmpl w:val="58A0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D2A72"/>
    <w:multiLevelType w:val="multilevel"/>
    <w:tmpl w:val="1D7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502AA"/>
    <w:multiLevelType w:val="multilevel"/>
    <w:tmpl w:val="DA7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70E12"/>
    <w:multiLevelType w:val="multilevel"/>
    <w:tmpl w:val="FF2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13D7F"/>
    <w:multiLevelType w:val="multilevel"/>
    <w:tmpl w:val="08E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54616"/>
    <w:multiLevelType w:val="multilevel"/>
    <w:tmpl w:val="D7A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A1CB6"/>
    <w:multiLevelType w:val="multilevel"/>
    <w:tmpl w:val="6E7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456397">
    <w:abstractNumId w:val="0"/>
  </w:num>
  <w:num w:numId="2" w16cid:durableId="1844130409">
    <w:abstractNumId w:val="8"/>
  </w:num>
  <w:num w:numId="3" w16cid:durableId="1339892296">
    <w:abstractNumId w:val="2"/>
  </w:num>
  <w:num w:numId="4" w16cid:durableId="1480341320">
    <w:abstractNumId w:val="6"/>
  </w:num>
  <w:num w:numId="5" w16cid:durableId="1991909652">
    <w:abstractNumId w:val="7"/>
  </w:num>
  <w:num w:numId="6" w16cid:durableId="1949893158">
    <w:abstractNumId w:val="5"/>
  </w:num>
  <w:num w:numId="7" w16cid:durableId="946037313">
    <w:abstractNumId w:val="4"/>
  </w:num>
  <w:num w:numId="8" w16cid:durableId="1274439660">
    <w:abstractNumId w:val="1"/>
  </w:num>
  <w:num w:numId="9" w16cid:durableId="2122724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04"/>
    <w:rsid w:val="00071C90"/>
    <w:rsid w:val="000B4C2A"/>
    <w:rsid w:val="000D1EDE"/>
    <w:rsid w:val="002B3BFA"/>
    <w:rsid w:val="00320D26"/>
    <w:rsid w:val="00414AB1"/>
    <w:rsid w:val="006473F9"/>
    <w:rsid w:val="00736F93"/>
    <w:rsid w:val="00A01604"/>
    <w:rsid w:val="00C2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D1AD"/>
  <w15:chartTrackingRefBased/>
  <w15:docId w15:val="{39ED1770-1B93-4E47-AC6C-1E6291E5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6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6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6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6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6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6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6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6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6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6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913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3</cp:revision>
  <dcterms:created xsi:type="dcterms:W3CDTF">2026-05-06T22:00:00Z</dcterms:created>
  <dcterms:modified xsi:type="dcterms:W3CDTF">2026-05-06T22:12:00Z</dcterms:modified>
</cp:coreProperties>
</file>