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3D4E9" w14:textId="77777777" w:rsidR="00B15E95" w:rsidRPr="00B15E95" w:rsidRDefault="00B15E95" w:rsidP="00B15E95">
      <w:pPr>
        <w:rPr>
          <w:b/>
          <w:bCs/>
        </w:rPr>
      </w:pPr>
      <w:r w:rsidRPr="00B15E95">
        <w:rPr>
          <w:b/>
          <w:bCs/>
        </w:rPr>
        <w:t>Estructura y Funcionamiento de las Cuotas de Fondos de Inversión</w:t>
      </w:r>
    </w:p>
    <w:p w14:paraId="56CBB60D" w14:textId="77777777" w:rsidR="00B15E95" w:rsidRPr="00B15E95" w:rsidRDefault="00B15E95" w:rsidP="00B15E95">
      <w:pPr>
        <w:rPr>
          <w:b/>
          <w:bCs/>
        </w:rPr>
      </w:pPr>
      <w:r w:rsidRPr="00B15E95">
        <w:rPr>
          <w:b/>
          <w:bCs/>
        </w:rPr>
        <w:t>Resumen Ejecutivo</w:t>
      </w:r>
    </w:p>
    <w:p w14:paraId="6013EE88" w14:textId="77777777" w:rsidR="00B15E95" w:rsidRPr="00B15E95" w:rsidRDefault="00B15E95" w:rsidP="00B15E95">
      <w:r w:rsidRPr="00B15E95">
        <w:t>Las cuotas de fondos de inversión son valores de oferta pública que representan la participación de un inversionista en un patrimonio común. Este instrumento se caracteriza por su flexibilidad en activos subyacentes y su segmentación según la liquidez (rescatables y no rescatables). Debido a sus barreras de entrada generalmente elevadas, el producto está orientado principalmente a inversionistas institucionales y de alto patrimonio. La gestión está a cargo de Sociedades Administradoras bajo la supervisión de la Comisión para el Mercado Financiero (CMF), bajo un marco legal estricto que prioriza la transparencia y el cumplimiento de reglamentos internos.</w:t>
      </w:r>
    </w:p>
    <w:p w14:paraId="77B2C121" w14:textId="77777777" w:rsidR="00B15E95" w:rsidRPr="00B15E95" w:rsidRDefault="00B15E95" w:rsidP="00B15E95">
      <w:r w:rsidRPr="00B15E95">
        <w:pict w14:anchorId="270AE152">
          <v:rect id="_x0000_i1061" style="width:0;height:1.5pt" o:hralign="center" o:hrstd="t" o:hr="t" fillcolor="#a0a0a0" stroked="f"/>
        </w:pict>
      </w:r>
    </w:p>
    <w:p w14:paraId="1FA7F425" w14:textId="77777777" w:rsidR="00B15E95" w:rsidRPr="00B15E95" w:rsidRDefault="00B15E95" w:rsidP="00B15E95">
      <w:pPr>
        <w:rPr>
          <w:b/>
          <w:bCs/>
        </w:rPr>
      </w:pPr>
      <w:r w:rsidRPr="00B15E95">
        <w:rPr>
          <w:b/>
          <w:bCs/>
        </w:rPr>
        <w:t>Contexto y Propósito del Documento</w:t>
      </w:r>
    </w:p>
    <w:p w14:paraId="094DEB50" w14:textId="77777777" w:rsidR="00B15E95" w:rsidRPr="00B15E95" w:rsidRDefault="00B15E95" w:rsidP="00B15E95">
      <w:r w:rsidRPr="00B15E95">
        <w:t xml:space="preserve">El presente documento sistematiza las características, operatividad y marco regulatorio de los Fondos de Inversión en Chile, conforme a la </w:t>
      </w:r>
      <w:r w:rsidRPr="00B15E95">
        <w:rPr>
          <w:b/>
          <w:bCs/>
        </w:rPr>
        <w:t xml:space="preserve">Ley </w:t>
      </w:r>
      <w:proofErr w:type="spellStart"/>
      <w:r w:rsidRPr="00B15E95">
        <w:rPr>
          <w:b/>
          <w:bCs/>
        </w:rPr>
        <w:t>N°</w:t>
      </w:r>
      <w:proofErr w:type="spellEnd"/>
      <w:r w:rsidRPr="00B15E95">
        <w:rPr>
          <w:b/>
          <w:bCs/>
        </w:rPr>
        <w:t xml:space="preserve"> 20.712</w:t>
      </w:r>
      <w:r w:rsidRPr="00B15E95">
        <w:t xml:space="preserve"> y el </w:t>
      </w:r>
      <w:r w:rsidRPr="00B15E95">
        <w:rPr>
          <w:b/>
          <w:bCs/>
        </w:rPr>
        <w:t xml:space="preserve">DS </w:t>
      </w:r>
      <w:proofErr w:type="spellStart"/>
      <w:r w:rsidRPr="00B15E95">
        <w:rPr>
          <w:b/>
          <w:bCs/>
        </w:rPr>
        <w:t>N°</w:t>
      </w:r>
      <w:proofErr w:type="spellEnd"/>
      <w:r w:rsidRPr="00B15E95">
        <w:rPr>
          <w:b/>
          <w:bCs/>
        </w:rPr>
        <w:t xml:space="preserve"> 129 de Hacienda</w:t>
      </w:r>
      <w:r w:rsidRPr="00B15E95">
        <w:t>. El objetivo es proporcionar una guía técnica sobre la naturaleza de las cuotas, los mecanismos de rescate, la gobernanza institucional y los costos asociados para facilitar la toma de decisiones financieras.</w:t>
      </w:r>
    </w:p>
    <w:p w14:paraId="0D491490" w14:textId="77777777" w:rsidR="00B15E95" w:rsidRPr="00B15E95" w:rsidRDefault="00B15E95" w:rsidP="00B15E95">
      <w:r w:rsidRPr="00B15E95">
        <w:pict w14:anchorId="6772D7EF">
          <v:rect id="_x0000_i1062" style="width:0;height:1.5pt" o:hralign="center" o:hrstd="t" o:hr="t" fillcolor="#a0a0a0" stroked="f"/>
        </w:pict>
      </w:r>
    </w:p>
    <w:p w14:paraId="47A68A24" w14:textId="77777777" w:rsidR="00B15E95" w:rsidRPr="00B15E95" w:rsidRDefault="00B15E95" w:rsidP="00B15E95">
      <w:pPr>
        <w:rPr>
          <w:b/>
          <w:bCs/>
        </w:rPr>
      </w:pPr>
      <w:r w:rsidRPr="00B15E95">
        <w:rPr>
          <w:b/>
          <w:bCs/>
        </w:rPr>
        <w:t>Desarrollo del Contenido</w:t>
      </w:r>
    </w:p>
    <w:p w14:paraId="5B0E58E6" w14:textId="77777777" w:rsidR="00B15E95" w:rsidRPr="00B15E95" w:rsidRDefault="00B15E95" w:rsidP="00B15E95">
      <w:pPr>
        <w:rPr>
          <w:b/>
          <w:bCs/>
        </w:rPr>
      </w:pPr>
      <w:r w:rsidRPr="00B15E95">
        <w:rPr>
          <w:b/>
          <w:bCs/>
        </w:rPr>
        <w:t>Sección 1: Clasificación según Disponibilidad de Rescate</w:t>
      </w:r>
    </w:p>
    <w:p w14:paraId="507556E1" w14:textId="77777777" w:rsidR="00B15E95" w:rsidRPr="00B15E95" w:rsidRDefault="00B15E95" w:rsidP="00B15E95">
      <w:r w:rsidRPr="00B15E95">
        <w:t>La normativa distingue dos categorías fundamentales de fondos basadas en el plazo y la posibilidad de retiro de los aportes:</w:t>
      </w:r>
    </w:p>
    <w:p w14:paraId="4092E216" w14:textId="77777777" w:rsidR="00B15E95" w:rsidRPr="00B15E95" w:rsidRDefault="00B15E95" w:rsidP="00B15E95">
      <w:pPr>
        <w:numPr>
          <w:ilvl w:val="0"/>
          <w:numId w:val="1"/>
        </w:numPr>
      </w:pPr>
      <w:r w:rsidRPr="00B15E95">
        <w:rPr>
          <w:b/>
          <w:bCs/>
        </w:rPr>
        <w:t>Fondos de Inversión Rescatables:</w:t>
      </w:r>
      <w:r w:rsidRPr="00B15E95">
        <w:t xml:space="preserve"> Permiten el rescate total y permanente de las cuotas. El pago de dicho rescate debe efectuarse en un plazo de entre </w:t>
      </w:r>
      <w:r w:rsidRPr="00B15E95">
        <w:rPr>
          <w:b/>
          <w:bCs/>
        </w:rPr>
        <w:t>11 y 179 días</w:t>
      </w:r>
      <w:r w:rsidRPr="00B15E95">
        <w:t>.</w:t>
      </w:r>
    </w:p>
    <w:p w14:paraId="5DF8327E" w14:textId="77777777" w:rsidR="00B15E95" w:rsidRPr="00B15E95" w:rsidRDefault="00B15E95" w:rsidP="00B15E95">
      <w:pPr>
        <w:numPr>
          <w:ilvl w:val="0"/>
          <w:numId w:val="1"/>
        </w:numPr>
      </w:pPr>
      <w:r w:rsidRPr="00B15E95">
        <w:rPr>
          <w:b/>
          <w:bCs/>
        </w:rPr>
        <w:t>Fondos de Inversión No Rescatables:</w:t>
      </w:r>
      <w:r w:rsidRPr="00B15E95">
        <w:t xml:space="preserve"> No permiten el rescate total y permanente, o en su defecto, establecen un plazo de pago igual o superior a </w:t>
      </w:r>
      <w:r w:rsidRPr="00B15E95">
        <w:rPr>
          <w:b/>
          <w:bCs/>
        </w:rPr>
        <w:t>180 días</w:t>
      </w:r>
      <w:r w:rsidRPr="00B15E95">
        <w:t>. En estos casos, la liquidez suele obtenerse a través del mercado secundario.</w:t>
      </w:r>
    </w:p>
    <w:p w14:paraId="15B5F713" w14:textId="77777777" w:rsidR="00B15E95" w:rsidRPr="00B15E95" w:rsidRDefault="00B15E95" w:rsidP="00B15E95">
      <w:pPr>
        <w:rPr>
          <w:b/>
          <w:bCs/>
        </w:rPr>
      </w:pPr>
      <w:r w:rsidRPr="00B15E95">
        <w:rPr>
          <w:b/>
          <w:bCs/>
        </w:rPr>
        <w:t>Sección 2: Marco Operativo y Política de Inversión</w:t>
      </w:r>
    </w:p>
    <w:p w14:paraId="00D44B94" w14:textId="77777777" w:rsidR="00B15E95" w:rsidRPr="00B15E95" w:rsidRDefault="00B15E95" w:rsidP="00B15E95">
      <w:r w:rsidRPr="00B15E95">
        <w:lastRenderedPageBreak/>
        <w:t>Los fondos operan mediante un portafolio diversificado gestionado por una Administradora General de Fondos (AGF):</w:t>
      </w:r>
    </w:p>
    <w:p w14:paraId="6B641EAA" w14:textId="77777777" w:rsidR="00B15E95" w:rsidRPr="00B15E95" w:rsidRDefault="00B15E95" w:rsidP="00B15E95">
      <w:pPr>
        <w:numPr>
          <w:ilvl w:val="0"/>
          <w:numId w:val="2"/>
        </w:numPr>
      </w:pPr>
      <w:r w:rsidRPr="00B15E95">
        <w:rPr>
          <w:b/>
          <w:bCs/>
        </w:rPr>
        <w:t>Activos Elegibles:</w:t>
      </w:r>
      <w:r w:rsidRPr="00B15E95">
        <w:t xml:space="preserve"> Pueden invertir en diversos instrumentos, contratos, bienes o certificados, con la única limitación de lo que esté expresamente prohibido por ley.</w:t>
      </w:r>
    </w:p>
    <w:p w14:paraId="7AF95EE9" w14:textId="77777777" w:rsidR="00B15E95" w:rsidRPr="00B15E95" w:rsidRDefault="00B15E95" w:rsidP="00B15E95">
      <w:pPr>
        <w:numPr>
          <w:ilvl w:val="0"/>
          <w:numId w:val="2"/>
        </w:numPr>
      </w:pPr>
      <w:r w:rsidRPr="00B15E95">
        <w:rPr>
          <w:b/>
          <w:bCs/>
        </w:rPr>
        <w:t>Reglamento Interno:</w:t>
      </w:r>
      <w:r w:rsidRPr="00B15E95">
        <w:t xml:space="preserve"> Documento mandatorio depositado en la CMF que rige el fondo. Debe contener:</w:t>
      </w:r>
    </w:p>
    <w:p w14:paraId="4BBAFF77" w14:textId="77777777" w:rsidR="00B15E95" w:rsidRPr="00B15E95" w:rsidRDefault="00B15E95" w:rsidP="00B15E95">
      <w:pPr>
        <w:numPr>
          <w:ilvl w:val="1"/>
          <w:numId w:val="2"/>
        </w:numPr>
      </w:pPr>
      <w:r w:rsidRPr="00B15E95">
        <w:t>Plazo y política de inversión.</w:t>
      </w:r>
    </w:p>
    <w:p w14:paraId="5FE74495" w14:textId="77777777" w:rsidR="00B15E95" w:rsidRPr="00B15E95" w:rsidRDefault="00B15E95" w:rsidP="00B15E95">
      <w:pPr>
        <w:numPr>
          <w:ilvl w:val="1"/>
          <w:numId w:val="2"/>
        </w:numPr>
      </w:pPr>
      <w:r w:rsidRPr="00B15E95">
        <w:t>Política de reparto de beneficios.</w:t>
      </w:r>
    </w:p>
    <w:p w14:paraId="463EE57D" w14:textId="77777777" w:rsidR="00B15E95" w:rsidRPr="00B15E95" w:rsidRDefault="00B15E95" w:rsidP="00B15E95">
      <w:pPr>
        <w:numPr>
          <w:ilvl w:val="1"/>
          <w:numId w:val="2"/>
        </w:numPr>
      </w:pPr>
      <w:r w:rsidRPr="00B15E95">
        <w:t>Estructura de comisiones de administración.</w:t>
      </w:r>
    </w:p>
    <w:p w14:paraId="75F6D2AF" w14:textId="77777777" w:rsidR="00B15E95" w:rsidRPr="00B15E95" w:rsidRDefault="00B15E95" w:rsidP="00B15E95">
      <w:pPr>
        <w:numPr>
          <w:ilvl w:val="0"/>
          <w:numId w:val="2"/>
        </w:numPr>
      </w:pPr>
      <w:r w:rsidRPr="00B15E95">
        <w:rPr>
          <w:b/>
          <w:bCs/>
        </w:rPr>
        <w:t>Adquisición de la Calidad de Aportante:</w:t>
      </w:r>
      <w:r w:rsidRPr="00B15E95">
        <w:t xml:space="preserve"> Se concreta al recibir la sociedad el aporte (efectivo, vale vista, cheque liberado) o al cursarse el traspaso en el mercado secundario.</w:t>
      </w:r>
    </w:p>
    <w:p w14:paraId="18FD8175" w14:textId="77777777" w:rsidR="00B15E95" w:rsidRPr="00B15E95" w:rsidRDefault="00B15E95" w:rsidP="00B15E95">
      <w:pPr>
        <w:rPr>
          <w:b/>
          <w:bCs/>
        </w:rPr>
      </w:pPr>
      <w:r w:rsidRPr="00B15E95">
        <w:rPr>
          <w:b/>
          <w:bCs/>
        </w:rPr>
        <w:t>Sección 3: Gobernanza y Supervisión</w:t>
      </w:r>
    </w:p>
    <w:p w14:paraId="505C1EF9" w14:textId="77777777" w:rsidR="00B15E95" w:rsidRPr="00B15E95" w:rsidRDefault="00B15E95" w:rsidP="00B15E95">
      <w:r w:rsidRPr="00B15E95">
        <w:t>El sistema financiero establece mecanismos de control para resguardar los recursos:</w:t>
      </w:r>
    </w:p>
    <w:p w14:paraId="791D1C82" w14:textId="77777777" w:rsidR="00B15E95" w:rsidRPr="00B15E95" w:rsidRDefault="00B15E95" w:rsidP="00B15E95">
      <w:pPr>
        <w:numPr>
          <w:ilvl w:val="0"/>
          <w:numId w:val="3"/>
        </w:numPr>
      </w:pPr>
      <w:r w:rsidRPr="00B15E95">
        <w:rPr>
          <w:b/>
          <w:bCs/>
        </w:rPr>
        <w:t>Supervisión Estatal:</w:t>
      </w:r>
      <w:r w:rsidRPr="00B15E95">
        <w:t xml:space="preserve"> La CMF fiscaliza tanto a las sociedades administradoras como a los fondos respectivos.</w:t>
      </w:r>
    </w:p>
    <w:p w14:paraId="6CDB9033" w14:textId="77777777" w:rsidR="00B15E95" w:rsidRPr="00B15E95" w:rsidRDefault="00B15E95" w:rsidP="00B15E95">
      <w:pPr>
        <w:numPr>
          <w:ilvl w:val="0"/>
          <w:numId w:val="3"/>
        </w:numPr>
      </w:pPr>
      <w:r w:rsidRPr="00B15E95">
        <w:rPr>
          <w:b/>
          <w:bCs/>
        </w:rPr>
        <w:t>Comité de Vigilancia:</w:t>
      </w:r>
      <w:r w:rsidRPr="00B15E95">
        <w:t xml:space="preserve"> Obligatorio para </w:t>
      </w:r>
      <w:r w:rsidRPr="00B15E95">
        <w:rPr>
          <w:b/>
          <w:bCs/>
        </w:rPr>
        <w:t>fondos no rescatables</w:t>
      </w:r>
      <w:r w:rsidRPr="00B15E95">
        <w:t>. Sus funciones incluyen:</w:t>
      </w:r>
    </w:p>
    <w:p w14:paraId="3E37E0CD" w14:textId="77777777" w:rsidR="00B15E95" w:rsidRPr="00B15E95" w:rsidRDefault="00B15E95" w:rsidP="00B15E95">
      <w:pPr>
        <w:numPr>
          <w:ilvl w:val="1"/>
          <w:numId w:val="3"/>
        </w:numPr>
      </w:pPr>
      <w:r w:rsidRPr="00B15E95">
        <w:t>Verificar el cumplimiento del reglamento interno por parte de la administradora.</w:t>
      </w:r>
    </w:p>
    <w:p w14:paraId="00B7DE16" w14:textId="77777777" w:rsidR="00B15E95" w:rsidRPr="00B15E95" w:rsidRDefault="00B15E95" w:rsidP="00B15E95">
      <w:pPr>
        <w:numPr>
          <w:ilvl w:val="1"/>
          <w:numId w:val="3"/>
        </w:numPr>
      </w:pPr>
      <w:r w:rsidRPr="00B15E95">
        <w:t>Validar que la información entregada a los aportantes sea veraz y oportuna.</w:t>
      </w:r>
    </w:p>
    <w:p w14:paraId="28CF9BA7" w14:textId="77777777" w:rsidR="00B15E95" w:rsidRPr="00B15E95" w:rsidRDefault="00B15E95" w:rsidP="00B15E95">
      <w:pPr>
        <w:numPr>
          <w:ilvl w:val="1"/>
          <w:numId w:val="3"/>
        </w:numPr>
      </w:pPr>
      <w:r w:rsidRPr="00B15E95">
        <w:t>Constatar que las operaciones y variaciones de capital se ajusten a la legalidad vigente.</w:t>
      </w:r>
    </w:p>
    <w:p w14:paraId="3F932F35" w14:textId="77777777" w:rsidR="00B15E95" w:rsidRPr="00B15E95" w:rsidRDefault="00B15E95" w:rsidP="00B15E95">
      <w:r w:rsidRPr="00B15E95">
        <w:pict w14:anchorId="3BD2E12A">
          <v:rect id="_x0000_i1063" style="width:0;height:1.5pt" o:hralign="center" o:hrstd="t" o:hr="t" fillcolor="#a0a0a0" stroked="f"/>
        </w:pict>
      </w:r>
    </w:p>
    <w:p w14:paraId="0C86EBEC" w14:textId="77777777" w:rsidR="00B15E95" w:rsidRPr="00B15E95" w:rsidRDefault="00B15E95" w:rsidP="00B15E95">
      <w:pPr>
        <w:rPr>
          <w:b/>
          <w:bCs/>
        </w:rPr>
      </w:pPr>
      <w:r w:rsidRPr="00B15E95">
        <w:rPr>
          <w:b/>
          <w:bCs/>
        </w:rPr>
        <w:t>Conceptos Financieros Clave</w:t>
      </w:r>
    </w:p>
    <w:p w14:paraId="2F15687E" w14:textId="77777777" w:rsidR="00B15E95" w:rsidRPr="00B15E95" w:rsidRDefault="00B15E95" w:rsidP="00B15E95">
      <w:pPr>
        <w:numPr>
          <w:ilvl w:val="0"/>
          <w:numId w:val="4"/>
        </w:numPr>
      </w:pPr>
      <w:r w:rsidRPr="00B15E95">
        <w:rPr>
          <w:b/>
          <w:bCs/>
        </w:rPr>
        <w:t>Valor Cuota:</w:t>
      </w:r>
      <w:r w:rsidRPr="00B15E95">
        <w:t xml:space="preserve"> Precio unitario de participación que varía diariamente según la rentabilidad (ganancias o pérdidas) de los activos del fondo.</w:t>
      </w:r>
    </w:p>
    <w:p w14:paraId="6356869C" w14:textId="77777777" w:rsidR="00B15E95" w:rsidRPr="00B15E95" w:rsidRDefault="00B15E95" w:rsidP="00B15E95">
      <w:pPr>
        <w:numPr>
          <w:ilvl w:val="0"/>
          <w:numId w:val="4"/>
        </w:numPr>
      </w:pPr>
      <w:r w:rsidRPr="00B15E95">
        <w:rPr>
          <w:b/>
          <w:bCs/>
        </w:rPr>
        <w:lastRenderedPageBreak/>
        <w:t>Mercado Secundario:</w:t>
      </w:r>
      <w:r w:rsidRPr="00B15E95">
        <w:t xml:space="preserve"> Ámbito (Bolsas de Valores) donde se pueden transar cuotas ya emitidas a través de corredores de bolsa.</w:t>
      </w:r>
    </w:p>
    <w:p w14:paraId="0976EA8A" w14:textId="77777777" w:rsidR="00B15E95" w:rsidRPr="00B15E95" w:rsidRDefault="00B15E95" w:rsidP="00B15E95">
      <w:pPr>
        <w:numPr>
          <w:ilvl w:val="0"/>
          <w:numId w:val="4"/>
        </w:numPr>
      </w:pPr>
      <w:r w:rsidRPr="00B15E95">
        <w:rPr>
          <w:b/>
          <w:bCs/>
        </w:rPr>
        <w:t>Rescate:</w:t>
      </w:r>
      <w:r w:rsidRPr="00B15E95">
        <w:t xml:space="preserve"> Proceso de retiro de los fondos invertidos mediante la devolución de las cuotas a la administradora.</w:t>
      </w:r>
    </w:p>
    <w:p w14:paraId="321057C5" w14:textId="77777777" w:rsidR="00B15E95" w:rsidRPr="00B15E95" w:rsidRDefault="00B15E95" w:rsidP="00B15E95">
      <w:pPr>
        <w:numPr>
          <w:ilvl w:val="0"/>
          <w:numId w:val="4"/>
        </w:numPr>
      </w:pPr>
      <w:r w:rsidRPr="00B15E95">
        <w:rPr>
          <w:b/>
          <w:bCs/>
        </w:rPr>
        <w:t>Disminución Voluntaria de Capital:</w:t>
      </w:r>
      <w:r w:rsidRPr="00B15E95">
        <w:t xml:space="preserve"> Mecanismo aplicable a fondos no rescatables, sujeto al reglamento interno y acuerdos de la asamblea de aportantes o la administradora.</w:t>
      </w:r>
    </w:p>
    <w:p w14:paraId="3803FDC7" w14:textId="77777777" w:rsidR="00B15E95" w:rsidRPr="00B15E95" w:rsidRDefault="00B15E95" w:rsidP="00B15E95">
      <w:r w:rsidRPr="00B15E95">
        <w:pict w14:anchorId="2414CCF8">
          <v:rect id="_x0000_i1064" style="width:0;height:1.5pt" o:hralign="center" o:hrstd="t" o:hr="t" fillcolor="#a0a0a0" stroked="f"/>
        </w:pict>
      </w:r>
    </w:p>
    <w:p w14:paraId="0C2B93A3" w14:textId="77777777" w:rsidR="00B15E95" w:rsidRPr="00B15E95" w:rsidRDefault="00B15E95" w:rsidP="00B15E95">
      <w:pPr>
        <w:rPr>
          <w:b/>
          <w:bCs/>
        </w:rPr>
      </w:pPr>
      <w:r w:rsidRPr="00B15E95">
        <w:rPr>
          <w:b/>
          <w:bCs/>
        </w:rPr>
        <w:t>Conclusiones / Ideas Principales</w:t>
      </w:r>
    </w:p>
    <w:p w14:paraId="7ECB8D9B" w14:textId="77777777" w:rsidR="00B15E95" w:rsidRPr="00B15E95" w:rsidRDefault="00B15E95" w:rsidP="00B15E95">
      <w:pPr>
        <w:numPr>
          <w:ilvl w:val="0"/>
          <w:numId w:val="5"/>
        </w:numPr>
      </w:pPr>
      <w:r w:rsidRPr="00B15E95">
        <w:t xml:space="preserve">Las cuotas de fondos de inversión son </w:t>
      </w:r>
      <w:r w:rsidRPr="00B15E95">
        <w:rPr>
          <w:b/>
          <w:bCs/>
        </w:rPr>
        <w:t>instrumentos de capitalización con valor variable</w:t>
      </w:r>
      <w:r w:rsidRPr="00B15E95">
        <w:t>, donde la rentabilidad no está garantizada.</w:t>
      </w:r>
    </w:p>
    <w:p w14:paraId="620478C1" w14:textId="77777777" w:rsidR="00B15E95" w:rsidRPr="00B15E95" w:rsidRDefault="00B15E95" w:rsidP="00B15E95">
      <w:pPr>
        <w:numPr>
          <w:ilvl w:val="0"/>
          <w:numId w:val="5"/>
        </w:numPr>
      </w:pPr>
      <w:r w:rsidRPr="00B15E95">
        <w:t xml:space="preserve">La principal diferencia con los fondos mutuos radica en el </w:t>
      </w:r>
      <w:r w:rsidRPr="00B15E95">
        <w:rPr>
          <w:b/>
          <w:bCs/>
        </w:rPr>
        <w:t>perfil del inversionista (alto patrimonio)</w:t>
      </w:r>
      <w:r w:rsidRPr="00B15E95">
        <w:t xml:space="preserve"> y los plazos de rescate más extendidos o restringidos.</w:t>
      </w:r>
    </w:p>
    <w:p w14:paraId="60997148" w14:textId="77777777" w:rsidR="00B15E95" w:rsidRPr="00B15E95" w:rsidRDefault="00B15E95" w:rsidP="00B15E95">
      <w:pPr>
        <w:numPr>
          <w:ilvl w:val="0"/>
          <w:numId w:val="5"/>
        </w:numPr>
      </w:pPr>
      <w:r w:rsidRPr="00B15E95">
        <w:t>La liquidez de los fondos no rescatables depende fundamentalmente de la negociación en bolsa a través de intermediarios de valores.</w:t>
      </w:r>
    </w:p>
    <w:p w14:paraId="799BC9F1" w14:textId="77777777" w:rsidR="00B15E95" w:rsidRPr="00B15E95" w:rsidRDefault="00B15E95" w:rsidP="00B15E95">
      <w:r w:rsidRPr="00B15E95">
        <w:pict w14:anchorId="4D080F39">
          <v:rect id="_x0000_i1065" style="width:0;height:1.5pt" o:hralign="center" o:hrstd="t" o:hr="t" fillcolor="#a0a0a0" stroked="f"/>
        </w:pict>
      </w:r>
    </w:p>
    <w:p w14:paraId="689F2D3E" w14:textId="77777777" w:rsidR="00B15E95" w:rsidRPr="00B15E95" w:rsidRDefault="00B15E95" w:rsidP="00B15E95">
      <w:pPr>
        <w:rPr>
          <w:b/>
          <w:bCs/>
        </w:rPr>
      </w:pPr>
      <w:r w:rsidRPr="00B15E95">
        <w:rPr>
          <w:b/>
          <w:bCs/>
        </w:rPr>
        <w:t>Supuestos, Riesgos o Consideraciones Relevantes</w:t>
      </w:r>
    </w:p>
    <w:p w14:paraId="3D9785C1" w14:textId="77777777" w:rsidR="00B15E95" w:rsidRPr="00B15E95" w:rsidRDefault="00B15E95" w:rsidP="00B15E95">
      <w:pPr>
        <w:numPr>
          <w:ilvl w:val="0"/>
          <w:numId w:val="6"/>
        </w:numPr>
      </w:pPr>
      <w:r w:rsidRPr="00B15E95">
        <w:rPr>
          <w:b/>
          <w:bCs/>
        </w:rPr>
        <w:t>Riesgo de Mercado:</w:t>
      </w:r>
      <w:r w:rsidRPr="00B15E95">
        <w:t xml:space="preserve"> El valor cuota es sensible a las variaciones de los activos subyacentes, lo que puede derivar en pérdidas de capital.</w:t>
      </w:r>
    </w:p>
    <w:p w14:paraId="78F31BF8" w14:textId="77777777" w:rsidR="00B15E95" w:rsidRPr="00B15E95" w:rsidRDefault="00B15E95" w:rsidP="00B15E95">
      <w:pPr>
        <w:numPr>
          <w:ilvl w:val="0"/>
          <w:numId w:val="6"/>
        </w:numPr>
      </w:pPr>
      <w:r w:rsidRPr="00B15E95">
        <w:rPr>
          <w:b/>
          <w:bCs/>
        </w:rPr>
        <w:t>Riesgo de Liquidez:</w:t>
      </w:r>
      <w:r w:rsidRPr="00B15E95">
        <w:t xml:space="preserve"> En fondos no rescatables, el inversionista depende de encontrar contraparte en el mercado secundario si desea retirar su capital antes del cierre del fondo.</w:t>
      </w:r>
    </w:p>
    <w:p w14:paraId="2184F7A6" w14:textId="77777777" w:rsidR="00B15E95" w:rsidRPr="00B15E95" w:rsidRDefault="00B15E95" w:rsidP="00B15E95">
      <w:pPr>
        <w:numPr>
          <w:ilvl w:val="0"/>
          <w:numId w:val="6"/>
        </w:numPr>
      </w:pPr>
      <w:r w:rsidRPr="00B15E95">
        <w:rPr>
          <w:b/>
          <w:bCs/>
        </w:rPr>
        <w:t>Variabilidad de Costos:</w:t>
      </w:r>
      <w:r w:rsidRPr="00B15E95">
        <w:t xml:space="preserve"> Las administradoras poseen políticas de cobro significativamente distintas, lo que impacta directamente en la rentabilidad neta.</w:t>
      </w:r>
    </w:p>
    <w:p w14:paraId="051D6D35" w14:textId="77777777" w:rsidR="00B15E95" w:rsidRPr="00B15E95" w:rsidRDefault="00B15E95" w:rsidP="00B15E95">
      <w:r w:rsidRPr="00B15E95">
        <w:pict w14:anchorId="493CE256">
          <v:rect id="_x0000_i1066" style="width:0;height:1.5pt" o:hralign="center" o:hrstd="t" o:hr="t" fillcolor="#a0a0a0" stroked="f"/>
        </w:pict>
      </w:r>
    </w:p>
    <w:p w14:paraId="54F32BD2" w14:textId="77777777" w:rsidR="00B15E95" w:rsidRPr="00B15E95" w:rsidRDefault="00B15E95" w:rsidP="00B15E95">
      <w:pPr>
        <w:rPr>
          <w:b/>
          <w:bCs/>
        </w:rPr>
      </w:pPr>
      <w:proofErr w:type="gramStart"/>
      <w:r w:rsidRPr="00B15E95">
        <w:rPr>
          <w:b/>
          <w:bCs/>
        </w:rPr>
        <w:t>Puntos a Aclarar</w:t>
      </w:r>
      <w:proofErr w:type="gramEnd"/>
      <w:r w:rsidRPr="00B15E95">
        <w:rPr>
          <w:b/>
          <w:bCs/>
        </w:rPr>
        <w:t xml:space="preserve"> o Información Faltante</w:t>
      </w:r>
    </w:p>
    <w:p w14:paraId="0FE4FF84" w14:textId="77777777" w:rsidR="00B15E95" w:rsidRPr="00B15E95" w:rsidRDefault="00B15E95" w:rsidP="00B15E95">
      <w:pPr>
        <w:numPr>
          <w:ilvl w:val="0"/>
          <w:numId w:val="7"/>
        </w:numPr>
      </w:pPr>
      <w:r w:rsidRPr="00B15E95">
        <w:rPr>
          <w:b/>
          <w:bCs/>
        </w:rPr>
        <w:t>Montos Específicos:</w:t>
      </w:r>
      <w:r w:rsidRPr="00B15E95">
        <w:t xml:space="preserve"> El texto menciona que los aportes mínimos son "altos", pero no define umbrales monetarios específicos (ej. en UF o Pesos).</w:t>
      </w:r>
    </w:p>
    <w:p w14:paraId="5F2B37D4" w14:textId="77777777" w:rsidR="00B15E95" w:rsidRPr="00B15E95" w:rsidRDefault="00B15E95" w:rsidP="00B15E95">
      <w:pPr>
        <w:numPr>
          <w:ilvl w:val="0"/>
          <w:numId w:val="7"/>
        </w:numPr>
      </w:pPr>
      <w:r w:rsidRPr="00B15E95">
        <w:rPr>
          <w:b/>
          <w:bCs/>
        </w:rPr>
        <w:lastRenderedPageBreak/>
        <w:t>Detalle de Prohibiciones:</w:t>
      </w:r>
      <w:r w:rsidRPr="00B15E95">
        <w:t xml:space="preserve"> Se menciona que pueden invertir en todo lo "no prohibido por ley", pero no se enumeran dichas prohibiciones legales.</w:t>
      </w:r>
    </w:p>
    <w:p w14:paraId="1809A7CB" w14:textId="77777777" w:rsidR="00B15E95" w:rsidRPr="00B15E95" w:rsidRDefault="00B15E95" w:rsidP="00B15E95">
      <w:pPr>
        <w:numPr>
          <w:ilvl w:val="0"/>
          <w:numId w:val="7"/>
        </w:numPr>
      </w:pPr>
      <w:r w:rsidRPr="00B15E95">
        <w:rPr>
          <w:b/>
          <w:bCs/>
        </w:rPr>
        <w:t>Tratamiento Tributario:</w:t>
      </w:r>
      <w:r w:rsidRPr="00B15E95">
        <w:t xml:space="preserve"> El documento original no hace referencia a las implicancias impositivas de las ganancias de capital o el reparto de beneficios.</w:t>
      </w:r>
    </w:p>
    <w:p w14:paraId="4576E02D" w14:textId="77777777" w:rsidR="00B15E95" w:rsidRPr="00B15E95" w:rsidRDefault="00B15E95" w:rsidP="00B15E95">
      <w:pPr>
        <w:numPr>
          <w:ilvl w:val="0"/>
          <w:numId w:val="7"/>
        </w:numPr>
      </w:pPr>
      <w:r w:rsidRPr="00B15E95">
        <w:rPr>
          <w:b/>
          <w:bCs/>
        </w:rPr>
        <w:t>Costos de Intermediación:</w:t>
      </w:r>
      <w:r w:rsidRPr="00B15E95">
        <w:t xml:space="preserve"> No se especifican los rangos de las comisiones cobradas por los corredores de bolsa en el mercado secundario.</w:t>
      </w:r>
    </w:p>
    <w:p w14:paraId="4520E728" w14:textId="77777777" w:rsidR="000D1EDE" w:rsidRDefault="000D1EDE"/>
    <w:sectPr w:rsidR="000D1ED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25D98"/>
    <w:multiLevelType w:val="multilevel"/>
    <w:tmpl w:val="C1E63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70A22"/>
    <w:multiLevelType w:val="multilevel"/>
    <w:tmpl w:val="F0220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B638E"/>
    <w:multiLevelType w:val="multilevel"/>
    <w:tmpl w:val="00D2B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F16403"/>
    <w:multiLevelType w:val="multilevel"/>
    <w:tmpl w:val="0CA46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F8168A"/>
    <w:multiLevelType w:val="multilevel"/>
    <w:tmpl w:val="BAE6B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601217"/>
    <w:multiLevelType w:val="multilevel"/>
    <w:tmpl w:val="547A5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D11F78"/>
    <w:multiLevelType w:val="multilevel"/>
    <w:tmpl w:val="E6888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5500379">
    <w:abstractNumId w:val="1"/>
  </w:num>
  <w:num w:numId="2" w16cid:durableId="1767846730">
    <w:abstractNumId w:val="6"/>
  </w:num>
  <w:num w:numId="3" w16cid:durableId="375856967">
    <w:abstractNumId w:val="4"/>
  </w:num>
  <w:num w:numId="4" w16cid:durableId="1370647602">
    <w:abstractNumId w:val="2"/>
  </w:num>
  <w:num w:numId="5" w16cid:durableId="1247039108">
    <w:abstractNumId w:val="3"/>
  </w:num>
  <w:num w:numId="6" w16cid:durableId="440339019">
    <w:abstractNumId w:val="5"/>
  </w:num>
  <w:num w:numId="7" w16cid:durableId="882912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6D6"/>
    <w:rsid w:val="00071C90"/>
    <w:rsid w:val="000D1EDE"/>
    <w:rsid w:val="00320D26"/>
    <w:rsid w:val="00414AB1"/>
    <w:rsid w:val="004F527F"/>
    <w:rsid w:val="005026D6"/>
    <w:rsid w:val="006473F9"/>
    <w:rsid w:val="00736F93"/>
    <w:rsid w:val="00B15E95"/>
    <w:rsid w:val="00E14C1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5CF2D"/>
  <w15:chartTrackingRefBased/>
  <w15:docId w15:val="{B65C55CB-EA23-47F2-AC11-6E2DE737D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02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02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026D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026D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026D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026D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026D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026D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026D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026D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026D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026D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026D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026D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026D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026D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026D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026D6"/>
    <w:rPr>
      <w:rFonts w:eastAsiaTheme="majorEastAsia" w:cstheme="majorBidi"/>
      <w:color w:val="272727" w:themeColor="text1" w:themeTint="D8"/>
    </w:rPr>
  </w:style>
  <w:style w:type="paragraph" w:styleId="Ttulo">
    <w:name w:val="Title"/>
    <w:basedOn w:val="Normal"/>
    <w:next w:val="Normal"/>
    <w:link w:val="TtuloCar"/>
    <w:uiPriority w:val="10"/>
    <w:qFormat/>
    <w:rsid w:val="005026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026D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026D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026D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026D6"/>
    <w:pPr>
      <w:spacing w:before="160"/>
      <w:jc w:val="center"/>
    </w:pPr>
    <w:rPr>
      <w:i/>
      <w:iCs/>
      <w:color w:val="404040" w:themeColor="text1" w:themeTint="BF"/>
    </w:rPr>
  </w:style>
  <w:style w:type="character" w:customStyle="1" w:styleId="CitaCar">
    <w:name w:val="Cita Car"/>
    <w:basedOn w:val="Fuentedeprrafopredeter"/>
    <w:link w:val="Cita"/>
    <w:uiPriority w:val="29"/>
    <w:rsid w:val="005026D6"/>
    <w:rPr>
      <w:i/>
      <w:iCs/>
      <w:color w:val="404040" w:themeColor="text1" w:themeTint="BF"/>
    </w:rPr>
  </w:style>
  <w:style w:type="paragraph" w:styleId="Prrafodelista">
    <w:name w:val="List Paragraph"/>
    <w:basedOn w:val="Normal"/>
    <w:uiPriority w:val="34"/>
    <w:qFormat/>
    <w:rsid w:val="005026D6"/>
    <w:pPr>
      <w:ind w:left="720"/>
      <w:contextualSpacing/>
    </w:pPr>
  </w:style>
  <w:style w:type="character" w:styleId="nfasisintenso">
    <w:name w:val="Intense Emphasis"/>
    <w:basedOn w:val="Fuentedeprrafopredeter"/>
    <w:uiPriority w:val="21"/>
    <w:qFormat/>
    <w:rsid w:val="005026D6"/>
    <w:rPr>
      <w:i/>
      <w:iCs/>
      <w:color w:val="0F4761" w:themeColor="accent1" w:themeShade="BF"/>
    </w:rPr>
  </w:style>
  <w:style w:type="paragraph" w:styleId="Citadestacada">
    <w:name w:val="Intense Quote"/>
    <w:basedOn w:val="Normal"/>
    <w:next w:val="Normal"/>
    <w:link w:val="CitadestacadaCar"/>
    <w:uiPriority w:val="30"/>
    <w:qFormat/>
    <w:rsid w:val="00502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026D6"/>
    <w:rPr>
      <w:i/>
      <w:iCs/>
      <w:color w:val="0F4761" w:themeColor="accent1" w:themeShade="BF"/>
    </w:rPr>
  </w:style>
  <w:style w:type="character" w:styleId="Referenciaintensa">
    <w:name w:val="Intense Reference"/>
    <w:basedOn w:val="Fuentedeprrafopredeter"/>
    <w:uiPriority w:val="32"/>
    <w:qFormat/>
    <w:rsid w:val="005026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801</Words>
  <Characters>4410</Characters>
  <Application>Microsoft Office Word</Application>
  <DocSecurity>0</DocSecurity>
  <Lines>36</Lines>
  <Paragraphs>10</Paragraphs>
  <ScaleCrop>false</ScaleCrop>
  <Company/>
  <LinksUpToDate>false</LinksUpToDate>
  <CharactersWithSpaces>5201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MOREIRA ITURRIETA YOHAN A</dc:creator>
  <cp:keywords/>
  <dc:description/>
  <cp:lastModifiedBy>MOREIRA ITURRIETA YOHAN A</cp:lastModifiedBy>
  <cp:revision>3</cp:revision>
  <dcterms:created xsi:type="dcterms:W3CDTF">2026-05-06T22:57:00Z</dcterms:created>
  <dcterms:modified xsi:type="dcterms:W3CDTF">2026-05-06T22:58:00Z</dcterms:modified>
</cp:coreProperties>
</file>