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08FF8" w14:textId="77777777" w:rsidR="002E71AC" w:rsidRPr="002E71AC" w:rsidRDefault="002E71AC" w:rsidP="002E71AC">
      <w:pPr>
        <w:rPr>
          <w:b/>
          <w:bCs/>
        </w:rPr>
      </w:pPr>
      <w:r w:rsidRPr="002E71AC">
        <w:rPr>
          <w:b/>
          <w:bCs/>
        </w:rPr>
        <w:t>El Servicio de Custodia de Valores y Títulos Financieros</w:t>
      </w:r>
    </w:p>
    <w:p w14:paraId="7A7FDBE1" w14:textId="77777777" w:rsidR="002E71AC" w:rsidRPr="002E71AC" w:rsidRDefault="002E71AC" w:rsidP="002E71AC">
      <w:pPr>
        <w:rPr>
          <w:b/>
          <w:bCs/>
        </w:rPr>
      </w:pPr>
      <w:r w:rsidRPr="002E71AC">
        <w:rPr>
          <w:b/>
          <w:bCs/>
        </w:rPr>
        <w:t>Resumen ejecutivo</w:t>
      </w:r>
    </w:p>
    <w:p w14:paraId="16234F30" w14:textId="77777777" w:rsidR="002E71AC" w:rsidRPr="002E71AC" w:rsidRDefault="002E71AC" w:rsidP="002E71AC">
      <w:r w:rsidRPr="002E71AC">
        <w:t>La custodia es un servicio técnico y administrativo esencial en el mercado de capitales que garantiza el resguardo y la integridad de los títulos representativos de activos financieros. Su función principal es mitigar riesgos operativos asociados a la pérdida, robo o deterioro de documentos físicos, asegurando que el ejercicio de los derechos económicos y políticos derivados de dichos valores se mantenga en favor del propietario legítimo.</w:t>
      </w:r>
    </w:p>
    <w:p w14:paraId="63A18F12" w14:textId="77777777" w:rsidR="002E71AC" w:rsidRPr="002E71AC" w:rsidRDefault="002E71AC" w:rsidP="002E71AC">
      <w:r w:rsidRPr="002E71AC">
        <w:pict w14:anchorId="00EFAB78">
          <v:rect id="_x0000_i1049" style="width:0;height:1.5pt" o:hralign="center" o:hrstd="t" o:hr="t" fillcolor="#a0a0a0" stroked="f"/>
        </w:pict>
      </w:r>
    </w:p>
    <w:p w14:paraId="47FA8CF1" w14:textId="77777777" w:rsidR="002E71AC" w:rsidRPr="002E71AC" w:rsidRDefault="002E71AC" w:rsidP="002E71AC">
      <w:pPr>
        <w:rPr>
          <w:b/>
          <w:bCs/>
        </w:rPr>
      </w:pPr>
      <w:r w:rsidRPr="002E71AC">
        <w:rPr>
          <w:b/>
          <w:bCs/>
        </w:rPr>
        <w:t>Contexto / Antecedentes</w:t>
      </w:r>
    </w:p>
    <w:p w14:paraId="71FDC680" w14:textId="77777777" w:rsidR="002E71AC" w:rsidRPr="002E71AC" w:rsidRDefault="002E71AC" w:rsidP="002E71AC">
      <w:r w:rsidRPr="002E71AC">
        <w:t>En el ecosistema de inversiones, la seguridad en la tenencia de los activos es tan crítica como la rentabilidad misma. Históricamente, el servicio de custodia surgió para manejar el resguardo físico de certificados (acciones, bonos, pagarés). Hoy en día, aunque la tendencia es la desmaterialización de valores, la custodia física permanece como un componente para ciertos instrumentos específicos, exigiendo una infraestructura de alta seguridad y registros rigurosos bajo la supervisión de entidades reguladoras.</w:t>
      </w:r>
    </w:p>
    <w:p w14:paraId="2FB50B3F" w14:textId="77777777" w:rsidR="002E71AC" w:rsidRPr="002E71AC" w:rsidRDefault="002E71AC" w:rsidP="002E71AC">
      <w:r w:rsidRPr="002E71AC">
        <w:pict w14:anchorId="0591D9D6">
          <v:rect id="_x0000_i1050" style="width:0;height:1.5pt" o:hralign="center" o:hrstd="t" o:hr="t" fillcolor="#a0a0a0" stroked="f"/>
        </w:pict>
      </w:r>
    </w:p>
    <w:p w14:paraId="4F7D3558" w14:textId="77777777" w:rsidR="002E71AC" w:rsidRPr="002E71AC" w:rsidRDefault="002E71AC" w:rsidP="002E71AC">
      <w:pPr>
        <w:rPr>
          <w:b/>
          <w:bCs/>
        </w:rPr>
      </w:pPr>
      <w:r w:rsidRPr="002E71AC">
        <w:rPr>
          <w:b/>
          <w:bCs/>
        </w:rPr>
        <w:t>Desarrollo del contenido</w:t>
      </w:r>
    </w:p>
    <w:p w14:paraId="1174596C" w14:textId="77777777" w:rsidR="002E71AC" w:rsidRPr="002E71AC" w:rsidRDefault="002E71AC" w:rsidP="002E71AC">
      <w:pPr>
        <w:rPr>
          <w:b/>
          <w:bCs/>
        </w:rPr>
      </w:pPr>
      <w:r w:rsidRPr="002E71AC">
        <w:rPr>
          <w:b/>
          <w:bCs/>
        </w:rPr>
        <w:t>Sección 1: Naturaleza y Alcance del Servicio</w:t>
      </w:r>
    </w:p>
    <w:p w14:paraId="37973FA7" w14:textId="77777777" w:rsidR="002E71AC" w:rsidRPr="002E71AC" w:rsidRDefault="002E71AC" w:rsidP="002E71AC">
      <w:r w:rsidRPr="002E71AC">
        <w:t>El servicio de custodia trasciende el simple almacenamiento, implicando una serie de responsabilidades para el custodio:</w:t>
      </w:r>
    </w:p>
    <w:p w14:paraId="4071C515" w14:textId="77777777" w:rsidR="002E71AC" w:rsidRPr="002E71AC" w:rsidRDefault="002E71AC" w:rsidP="002E71AC">
      <w:pPr>
        <w:numPr>
          <w:ilvl w:val="0"/>
          <w:numId w:val="1"/>
        </w:numPr>
      </w:pPr>
      <w:r w:rsidRPr="002E71AC">
        <w:rPr>
          <w:b/>
          <w:bCs/>
        </w:rPr>
        <w:t>Resguardo Físico:</w:t>
      </w:r>
      <w:r w:rsidRPr="002E71AC">
        <w:t xml:space="preserve"> Protección de los documentos originales en bóvedas o instalaciones que cumplan con estándares de seguridad industrial y financiera.</w:t>
      </w:r>
    </w:p>
    <w:p w14:paraId="67A2812E" w14:textId="77777777" w:rsidR="002E71AC" w:rsidRPr="002E71AC" w:rsidRDefault="002E71AC" w:rsidP="002E71AC">
      <w:pPr>
        <w:numPr>
          <w:ilvl w:val="0"/>
          <w:numId w:val="1"/>
        </w:numPr>
      </w:pPr>
      <w:r w:rsidRPr="002E71AC">
        <w:rPr>
          <w:b/>
          <w:bCs/>
        </w:rPr>
        <w:t>Identificación y Registro:</w:t>
      </w:r>
      <w:r w:rsidRPr="002E71AC">
        <w:t xml:space="preserve"> Control detallado de la numeración, series y características de cada título custodiado para evitar su duplicación o uso indebido.</w:t>
      </w:r>
    </w:p>
    <w:p w14:paraId="6042B7A5" w14:textId="77777777" w:rsidR="002E71AC" w:rsidRPr="002E71AC" w:rsidRDefault="002E71AC" w:rsidP="002E71AC">
      <w:pPr>
        <w:numPr>
          <w:ilvl w:val="0"/>
          <w:numId w:val="1"/>
        </w:numPr>
      </w:pPr>
      <w:r w:rsidRPr="002E71AC">
        <w:rPr>
          <w:b/>
          <w:bCs/>
        </w:rPr>
        <w:t>Integridad del Activo:</w:t>
      </w:r>
      <w:r w:rsidRPr="002E71AC">
        <w:t xml:space="preserve"> Garantía de que el documento no sufra alteraciones que invaliden su valor ante el emisor.</w:t>
      </w:r>
    </w:p>
    <w:p w14:paraId="7A8C3165" w14:textId="77777777" w:rsidR="002E71AC" w:rsidRPr="002E71AC" w:rsidRDefault="002E71AC" w:rsidP="002E71AC">
      <w:pPr>
        <w:rPr>
          <w:b/>
          <w:bCs/>
        </w:rPr>
      </w:pPr>
      <w:r w:rsidRPr="002E71AC">
        <w:rPr>
          <w:b/>
          <w:bCs/>
        </w:rPr>
        <w:t>Sección 2: Operatividad de la Custodia</w:t>
      </w:r>
    </w:p>
    <w:p w14:paraId="6F4FE494" w14:textId="77777777" w:rsidR="002E71AC" w:rsidRPr="002E71AC" w:rsidRDefault="002E71AC" w:rsidP="002E71AC">
      <w:r w:rsidRPr="002E71AC">
        <w:lastRenderedPageBreak/>
        <w:t>El proceso de custodia se inserta en el ciclo de vida de la inversión de la siguiente manera:</w:t>
      </w:r>
    </w:p>
    <w:p w14:paraId="6700E964" w14:textId="77777777" w:rsidR="002E71AC" w:rsidRPr="002E71AC" w:rsidRDefault="002E71AC" w:rsidP="002E71AC">
      <w:pPr>
        <w:numPr>
          <w:ilvl w:val="0"/>
          <w:numId w:val="2"/>
        </w:numPr>
      </w:pPr>
      <w:r w:rsidRPr="002E71AC">
        <w:rPr>
          <w:b/>
          <w:bCs/>
        </w:rPr>
        <w:t>Recepción:</w:t>
      </w:r>
      <w:r w:rsidRPr="002E71AC">
        <w:t xml:space="preserve"> El inversionista o intermediario entrega el título físico al custodio.</w:t>
      </w:r>
    </w:p>
    <w:p w14:paraId="29068343" w14:textId="77777777" w:rsidR="002E71AC" w:rsidRPr="002E71AC" w:rsidRDefault="002E71AC" w:rsidP="002E71AC">
      <w:pPr>
        <w:numPr>
          <w:ilvl w:val="0"/>
          <w:numId w:val="2"/>
        </w:numPr>
      </w:pPr>
      <w:r w:rsidRPr="002E71AC">
        <w:rPr>
          <w:b/>
          <w:bCs/>
        </w:rPr>
        <w:t>Verificación:</w:t>
      </w:r>
      <w:r w:rsidRPr="002E71AC">
        <w:t xml:space="preserve"> Validación de la autenticidad y vigencia del documento.</w:t>
      </w:r>
    </w:p>
    <w:p w14:paraId="79E66453" w14:textId="77777777" w:rsidR="002E71AC" w:rsidRPr="002E71AC" w:rsidRDefault="002E71AC" w:rsidP="002E71AC">
      <w:pPr>
        <w:numPr>
          <w:ilvl w:val="0"/>
          <w:numId w:val="2"/>
        </w:numPr>
      </w:pPr>
      <w:r w:rsidRPr="002E71AC">
        <w:rPr>
          <w:b/>
          <w:bCs/>
        </w:rPr>
        <w:t>Administración de Derechos:</w:t>
      </w:r>
      <w:r w:rsidRPr="002E71AC">
        <w:t xml:space="preserve"> En muchos casos, el custodio también se encarga de gestionar el cobro de intereses, dividendos o la asistencia a juntas de accionistas (según el contrato).</w:t>
      </w:r>
    </w:p>
    <w:p w14:paraId="16A3ACD4" w14:textId="77777777" w:rsidR="002E71AC" w:rsidRPr="002E71AC" w:rsidRDefault="002E71AC" w:rsidP="002E71AC">
      <w:pPr>
        <w:numPr>
          <w:ilvl w:val="0"/>
          <w:numId w:val="2"/>
        </w:numPr>
      </w:pPr>
      <w:r w:rsidRPr="002E71AC">
        <w:rPr>
          <w:b/>
          <w:bCs/>
        </w:rPr>
        <w:t>Retiro o Enajenación:</w:t>
      </w:r>
      <w:r w:rsidRPr="002E71AC">
        <w:t xml:space="preserve"> Entrega del título ante una orden de venta o transferencia de propiedad.</w:t>
      </w:r>
    </w:p>
    <w:p w14:paraId="202A116A" w14:textId="77777777" w:rsidR="002E71AC" w:rsidRPr="002E71AC" w:rsidRDefault="002E71AC" w:rsidP="002E71AC">
      <w:pPr>
        <w:rPr>
          <w:b/>
          <w:bCs/>
        </w:rPr>
      </w:pPr>
      <w:r w:rsidRPr="002E71AC">
        <w:rPr>
          <w:b/>
          <w:bCs/>
        </w:rPr>
        <w:t>Sección 3: Entidades que Prestan el Servicio</w:t>
      </w:r>
    </w:p>
    <w:p w14:paraId="08EAE587" w14:textId="77777777" w:rsidR="002E71AC" w:rsidRPr="002E71AC" w:rsidRDefault="002E71AC" w:rsidP="002E71AC">
      <w:r w:rsidRPr="002E71AC">
        <w:t>La facultad para custodiar valores de terceros está restringida a instituciones autorizadas por ley, tales como:</w:t>
      </w:r>
    </w:p>
    <w:p w14:paraId="3674339A" w14:textId="77777777" w:rsidR="002E71AC" w:rsidRPr="002E71AC" w:rsidRDefault="002E71AC" w:rsidP="002E71AC">
      <w:pPr>
        <w:numPr>
          <w:ilvl w:val="0"/>
          <w:numId w:val="3"/>
        </w:numPr>
      </w:pPr>
      <w:r w:rsidRPr="002E71AC">
        <w:rPr>
          <w:b/>
          <w:bCs/>
        </w:rPr>
        <w:t>Bancos e Instituciones Financieras.</w:t>
      </w:r>
    </w:p>
    <w:p w14:paraId="22EC6055" w14:textId="77777777" w:rsidR="002E71AC" w:rsidRPr="002E71AC" w:rsidRDefault="002E71AC" w:rsidP="002E71AC">
      <w:pPr>
        <w:numPr>
          <w:ilvl w:val="0"/>
          <w:numId w:val="3"/>
        </w:numPr>
      </w:pPr>
      <w:r w:rsidRPr="002E71AC">
        <w:rPr>
          <w:b/>
          <w:bCs/>
        </w:rPr>
        <w:t>Corredores de Bolsa y Agentes de Valores.</w:t>
      </w:r>
    </w:p>
    <w:p w14:paraId="613857FF" w14:textId="77777777" w:rsidR="002E71AC" w:rsidRPr="002E71AC" w:rsidRDefault="002E71AC" w:rsidP="002E71AC">
      <w:pPr>
        <w:numPr>
          <w:ilvl w:val="0"/>
          <w:numId w:val="3"/>
        </w:numPr>
      </w:pPr>
      <w:r w:rsidRPr="002E71AC">
        <w:rPr>
          <w:b/>
          <w:bCs/>
        </w:rPr>
        <w:t>Depósitos Centrales de Valores (DCV):</w:t>
      </w:r>
      <w:r w:rsidRPr="002E71AC">
        <w:t xml:space="preserve"> Entidades especializadas que actúan como custodios centrales del sistema financiero.</w:t>
      </w:r>
    </w:p>
    <w:p w14:paraId="4994B78A" w14:textId="77777777" w:rsidR="002E71AC" w:rsidRPr="002E71AC" w:rsidRDefault="002E71AC" w:rsidP="002E71AC">
      <w:r w:rsidRPr="002E71AC">
        <w:pict w14:anchorId="475EA5E8">
          <v:rect id="_x0000_i1051" style="width:0;height:1.5pt" o:hralign="center" o:hrstd="t" o:hr="t" fillcolor="#a0a0a0" stroked="f"/>
        </w:pict>
      </w:r>
    </w:p>
    <w:p w14:paraId="6952042B" w14:textId="77777777" w:rsidR="002E71AC" w:rsidRPr="002E71AC" w:rsidRDefault="002E71AC" w:rsidP="002E71AC">
      <w:pPr>
        <w:rPr>
          <w:b/>
          <w:bCs/>
        </w:rPr>
      </w:pPr>
      <w:r w:rsidRPr="002E71AC">
        <w:rPr>
          <w:b/>
          <w:bCs/>
        </w:rPr>
        <w:t>Conclusiones o ideas clave</w:t>
      </w:r>
    </w:p>
    <w:p w14:paraId="0A76DA10" w14:textId="77777777" w:rsidR="002E71AC" w:rsidRPr="002E71AC" w:rsidRDefault="002E71AC" w:rsidP="002E71AC">
      <w:pPr>
        <w:numPr>
          <w:ilvl w:val="0"/>
          <w:numId w:val="4"/>
        </w:numPr>
      </w:pPr>
      <w:r w:rsidRPr="002E71AC">
        <w:rPr>
          <w:b/>
          <w:bCs/>
        </w:rPr>
        <w:t>Mitigación de Riesgo Operativo:</w:t>
      </w:r>
      <w:r w:rsidRPr="002E71AC">
        <w:t xml:space="preserve"> La custodia elimina la exposición del inversionista individual al riesgo de custodia personal (pérdida o robo del papel físico).</w:t>
      </w:r>
    </w:p>
    <w:p w14:paraId="0C9855A2" w14:textId="77777777" w:rsidR="002E71AC" w:rsidRPr="002E71AC" w:rsidRDefault="002E71AC" w:rsidP="002E71AC">
      <w:pPr>
        <w:numPr>
          <w:ilvl w:val="0"/>
          <w:numId w:val="4"/>
        </w:numPr>
      </w:pPr>
      <w:r w:rsidRPr="002E71AC">
        <w:rPr>
          <w:b/>
          <w:bCs/>
        </w:rPr>
        <w:t>Facilitación del Comercio:</w:t>
      </w:r>
      <w:r w:rsidRPr="002E71AC">
        <w:t xml:space="preserve"> Al delegar el resguardo en un tercero profesional, se agiliza la transferencia de activos en el mercado secundario.</w:t>
      </w:r>
    </w:p>
    <w:p w14:paraId="4B19D5B5" w14:textId="77777777" w:rsidR="002E71AC" w:rsidRPr="002E71AC" w:rsidRDefault="002E71AC" w:rsidP="002E71AC">
      <w:pPr>
        <w:numPr>
          <w:ilvl w:val="0"/>
          <w:numId w:val="4"/>
        </w:numPr>
      </w:pPr>
      <w:r w:rsidRPr="002E71AC">
        <w:rPr>
          <w:b/>
          <w:bCs/>
        </w:rPr>
        <w:t>Confianza Sistémica:</w:t>
      </w:r>
      <w:r w:rsidRPr="002E71AC">
        <w:t xml:space="preserve"> Un servicio de custodia sólido es el pilar que sostiene la fe pública en la existencia y propiedad de los valores transados.</w:t>
      </w:r>
    </w:p>
    <w:p w14:paraId="392860E3" w14:textId="77777777" w:rsidR="002E71AC" w:rsidRPr="002E71AC" w:rsidRDefault="002E71AC" w:rsidP="002E71AC">
      <w:r w:rsidRPr="002E71AC">
        <w:pict w14:anchorId="150F9F57">
          <v:rect id="_x0000_i1052" style="width:0;height:1.5pt" o:hralign="center" o:hrstd="t" o:hr="t" fillcolor="#a0a0a0" stroked="f"/>
        </w:pict>
      </w:r>
    </w:p>
    <w:p w14:paraId="5D19C007" w14:textId="77777777" w:rsidR="002E71AC" w:rsidRPr="002E71AC" w:rsidRDefault="002E71AC" w:rsidP="002E71AC">
      <w:pPr>
        <w:rPr>
          <w:b/>
          <w:bCs/>
        </w:rPr>
      </w:pPr>
      <w:r w:rsidRPr="002E71AC">
        <w:rPr>
          <w:b/>
          <w:bCs/>
        </w:rPr>
        <w:t>Puntos a aclarar / información faltante</w:t>
      </w:r>
    </w:p>
    <w:p w14:paraId="3FE8A509" w14:textId="77777777" w:rsidR="002E71AC" w:rsidRPr="002E71AC" w:rsidRDefault="002E71AC" w:rsidP="002E71AC">
      <w:pPr>
        <w:numPr>
          <w:ilvl w:val="0"/>
          <w:numId w:val="5"/>
        </w:numPr>
      </w:pPr>
      <w:r w:rsidRPr="002E71AC">
        <w:rPr>
          <w:b/>
          <w:bCs/>
        </w:rPr>
        <w:t>Custodia Desmaterializada:</w:t>
      </w:r>
      <w:r w:rsidRPr="002E71AC">
        <w:t xml:space="preserve"> El texto original se limita a "títulos físicos", pero en el mercado moderno la mayoría de los valores son electrónicos </w:t>
      </w:r>
      <w:r w:rsidRPr="002E71AC">
        <w:lastRenderedPageBreak/>
        <w:t>(anotaciones en cuenta). Es necesario aclarar si el servicio analizado incluye o no activos desmaterializados.</w:t>
      </w:r>
    </w:p>
    <w:p w14:paraId="5B10119A" w14:textId="77777777" w:rsidR="002E71AC" w:rsidRPr="002E71AC" w:rsidRDefault="002E71AC" w:rsidP="002E71AC">
      <w:pPr>
        <w:numPr>
          <w:ilvl w:val="0"/>
          <w:numId w:val="5"/>
        </w:numPr>
      </w:pPr>
      <w:r w:rsidRPr="002E71AC">
        <w:rPr>
          <w:b/>
          <w:bCs/>
        </w:rPr>
        <w:t>Costos de Custodia:</w:t>
      </w:r>
      <w:r w:rsidRPr="002E71AC">
        <w:t xml:space="preserve"> No se mencionan las tarifas ( </w:t>
      </w:r>
      <w:r w:rsidRPr="002E71AC">
        <w:rPr>
          <w:i/>
          <w:iCs/>
        </w:rPr>
        <w:t>custody fees</w:t>
      </w:r>
      <w:r w:rsidRPr="002E71AC">
        <w:t xml:space="preserve"> ) que suelen ser cobradas periódicamente (mensual o trimestral) y que impactan la rentabilidad neta.</w:t>
      </w:r>
    </w:p>
    <w:p w14:paraId="128017CA" w14:textId="77777777" w:rsidR="002E71AC" w:rsidRPr="002E71AC" w:rsidRDefault="002E71AC" w:rsidP="002E71AC">
      <w:pPr>
        <w:numPr>
          <w:ilvl w:val="0"/>
          <w:numId w:val="5"/>
        </w:numPr>
      </w:pPr>
      <w:r w:rsidRPr="002E71AC">
        <w:rPr>
          <w:b/>
          <w:bCs/>
        </w:rPr>
        <w:t>Seguros:</w:t>
      </w:r>
      <w:r w:rsidRPr="002E71AC">
        <w:t xml:space="preserve"> No se especifica si existe una póliza de seguro obligatoria que cubra el valor de los títulos físicos ante siniestros (incendio, inundación, etc.).</w:t>
      </w:r>
    </w:p>
    <w:p w14:paraId="4470F0E0" w14:textId="77777777" w:rsidR="000D1EDE" w:rsidRDefault="000D1EDE"/>
    <w:sectPr w:rsidR="000D1ED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C7F6D"/>
    <w:multiLevelType w:val="multilevel"/>
    <w:tmpl w:val="87CE6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C93949"/>
    <w:multiLevelType w:val="multilevel"/>
    <w:tmpl w:val="EF5E9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D4036A"/>
    <w:multiLevelType w:val="multilevel"/>
    <w:tmpl w:val="3E163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CD4890"/>
    <w:multiLevelType w:val="multilevel"/>
    <w:tmpl w:val="061E1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A324D4"/>
    <w:multiLevelType w:val="multilevel"/>
    <w:tmpl w:val="196A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4716851">
    <w:abstractNumId w:val="0"/>
  </w:num>
  <w:num w:numId="2" w16cid:durableId="126703125">
    <w:abstractNumId w:val="3"/>
  </w:num>
  <w:num w:numId="3" w16cid:durableId="936448131">
    <w:abstractNumId w:val="2"/>
  </w:num>
  <w:num w:numId="4" w16cid:durableId="1203204208">
    <w:abstractNumId w:val="1"/>
  </w:num>
  <w:num w:numId="5" w16cid:durableId="5012373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A1E"/>
    <w:rsid w:val="00071C90"/>
    <w:rsid w:val="000D1EDE"/>
    <w:rsid w:val="002E71AC"/>
    <w:rsid w:val="00320D26"/>
    <w:rsid w:val="00414AB1"/>
    <w:rsid w:val="006473F9"/>
    <w:rsid w:val="00736F93"/>
    <w:rsid w:val="00897533"/>
    <w:rsid w:val="00D50A1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A801A"/>
  <w15:chartTrackingRefBased/>
  <w15:docId w15:val="{5C033147-BB76-448B-AC04-B1C628D19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50A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50A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50A1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50A1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50A1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50A1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50A1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50A1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50A1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50A1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50A1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50A1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50A1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50A1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50A1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50A1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50A1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50A1E"/>
    <w:rPr>
      <w:rFonts w:eastAsiaTheme="majorEastAsia" w:cstheme="majorBidi"/>
      <w:color w:val="272727" w:themeColor="text1" w:themeTint="D8"/>
    </w:rPr>
  </w:style>
  <w:style w:type="paragraph" w:styleId="Ttulo">
    <w:name w:val="Title"/>
    <w:basedOn w:val="Normal"/>
    <w:next w:val="Normal"/>
    <w:link w:val="TtuloCar"/>
    <w:uiPriority w:val="10"/>
    <w:qFormat/>
    <w:rsid w:val="00D50A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50A1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50A1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50A1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50A1E"/>
    <w:pPr>
      <w:spacing w:before="160"/>
      <w:jc w:val="center"/>
    </w:pPr>
    <w:rPr>
      <w:i/>
      <w:iCs/>
      <w:color w:val="404040" w:themeColor="text1" w:themeTint="BF"/>
    </w:rPr>
  </w:style>
  <w:style w:type="character" w:customStyle="1" w:styleId="CitaCar">
    <w:name w:val="Cita Car"/>
    <w:basedOn w:val="Fuentedeprrafopredeter"/>
    <w:link w:val="Cita"/>
    <w:uiPriority w:val="29"/>
    <w:rsid w:val="00D50A1E"/>
    <w:rPr>
      <w:i/>
      <w:iCs/>
      <w:color w:val="404040" w:themeColor="text1" w:themeTint="BF"/>
    </w:rPr>
  </w:style>
  <w:style w:type="paragraph" w:styleId="Prrafodelista">
    <w:name w:val="List Paragraph"/>
    <w:basedOn w:val="Normal"/>
    <w:uiPriority w:val="34"/>
    <w:qFormat/>
    <w:rsid w:val="00D50A1E"/>
    <w:pPr>
      <w:ind w:left="720"/>
      <w:contextualSpacing/>
    </w:pPr>
  </w:style>
  <w:style w:type="character" w:styleId="nfasisintenso">
    <w:name w:val="Intense Emphasis"/>
    <w:basedOn w:val="Fuentedeprrafopredeter"/>
    <w:uiPriority w:val="21"/>
    <w:qFormat/>
    <w:rsid w:val="00D50A1E"/>
    <w:rPr>
      <w:i/>
      <w:iCs/>
      <w:color w:val="0F4761" w:themeColor="accent1" w:themeShade="BF"/>
    </w:rPr>
  </w:style>
  <w:style w:type="paragraph" w:styleId="Citadestacada">
    <w:name w:val="Intense Quote"/>
    <w:basedOn w:val="Normal"/>
    <w:next w:val="Normal"/>
    <w:link w:val="CitadestacadaCar"/>
    <w:uiPriority w:val="30"/>
    <w:qFormat/>
    <w:rsid w:val="00D50A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50A1E"/>
    <w:rPr>
      <w:i/>
      <w:iCs/>
      <w:color w:val="0F4761" w:themeColor="accent1" w:themeShade="BF"/>
    </w:rPr>
  </w:style>
  <w:style w:type="character" w:styleId="Referenciaintensa">
    <w:name w:val="Intense Reference"/>
    <w:basedOn w:val="Fuentedeprrafopredeter"/>
    <w:uiPriority w:val="32"/>
    <w:qFormat/>
    <w:rsid w:val="00D50A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568</Words>
  <Characters>3127</Characters>
  <Application>Microsoft Office Word</Application>
  <DocSecurity>0</DocSecurity>
  <Lines>26</Lines>
  <Paragraphs>7</Paragraphs>
  <ScaleCrop>false</ScaleCrop>
  <Company/>
  <LinksUpToDate>false</LinksUpToDate>
  <CharactersWithSpaces>3688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MOREIRA ITURRIETA YOHAN A</dc:creator>
  <cp:keywords/>
  <dc:description/>
  <cp:lastModifiedBy>MOREIRA ITURRIETA YOHAN A</cp:lastModifiedBy>
  <cp:revision>2</cp:revision>
  <dcterms:created xsi:type="dcterms:W3CDTF">2026-05-06T23:39:00Z</dcterms:created>
  <dcterms:modified xsi:type="dcterms:W3CDTF">2026-05-06T23:39:00Z</dcterms:modified>
</cp:coreProperties>
</file>