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44EF6" w14:textId="77777777" w:rsidR="00CB247E" w:rsidRPr="00CB247E" w:rsidRDefault="00CB247E" w:rsidP="00CB247E">
      <w:pPr>
        <w:rPr>
          <w:b/>
          <w:bCs/>
        </w:rPr>
      </w:pPr>
      <w:r w:rsidRPr="00CB247E">
        <w:rPr>
          <w:b/>
          <w:bCs/>
        </w:rPr>
        <w:t>Naturaleza y Estructura de los Fondos de Pensiones</w:t>
      </w:r>
    </w:p>
    <w:p w14:paraId="7665EC89" w14:textId="77777777" w:rsidR="00CB247E" w:rsidRPr="00CB247E" w:rsidRDefault="00CB247E" w:rsidP="00CB247E">
      <w:pPr>
        <w:rPr>
          <w:b/>
          <w:bCs/>
        </w:rPr>
      </w:pPr>
      <w:r w:rsidRPr="00CB247E">
        <w:rPr>
          <w:b/>
          <w:bCs/>
        </w:rPr>
        <w:t>Resumen ejecutivo</w:t>
      </w:r>
    </w:p>
    <w:p w14:paraId="3F303450" w14:textId="77777777" w:rsidR="00CB247E" w:rsidRPr="00CB247E" w:rsidRDefault="00CB247E" w:rsidP="00CB247E">
      <w:r w:rsidRPr="00CB247E">
        <w:t xml:space="preserve">Los Fondos de Pensiones son vehículos de inversión colectiva constituidos por los aportes provenientes de las cuentas de capitalización individual, cuyo fin primordial es la obtención de pensiones de vejez. Estos recursos son recaudados y gestionados por las Administradoras de Fondos de Pensiones (AFP), posicionándose como uno de los principales </w:t>
      </w:r>
      <w:r w:rsidRPr="00CB247E">
        <w:rPr>
          <w:b/>
          <w:bCs/>
        </w:rPr>
        <w:t>demandantes de valores</w:t>
      </w:r>
      <w:r w:rsidRPr="00CB247E">
        <w:t xml:space="preserve"> en el mercado de capitales. Técnicamente, el patrimonio se divide en cuotas de iguales características, las cuales poseen la garantía legal de ser inembargables para resguardar el ahorro previsional.</w:t>
      </w:r>
    </w:p>
    <w:p w14:paraId="3753B44F" w14:textId="77777777" w:rsidR="00CB247E" w:rsidRPr="00CB247E" w:rsidRDefault="00CB247E" w:rsidP="00CB247E">
      <w:r w:rsidRPr="00CB247E">
        <w:pict w14:anchorId="2DB7ABEE">
          <v:rect id="_x0000_i1061" style="width:0;height:1.5pt" o:hralign="center" o:hrstd="t" o:hr="t" fillcolor="#a0a0a0" stroked="f"/>
        </w:pict>
      </w:r>
    </w:p>
    <w:p w14:paraId="21390CF9" w14:textId="77777777" w:rsidR="00CB247E" w:rsidRPr="00CB247E" w:rsidRDefault="00CB247E" w:rsidP="00CB247E">
      <w:pPr>
        <w:rPr>
          <w:b/>
          <w:bCs/>
        </w:rPr>
      </w:pPr>
      <w:r w:rsidRPr="00CB247E">
        <w:rPr>
          <w:b/>
          <w:bCs/>
        </w:rPr>
        <w:t>Contexto / Antecedentes</w:t>
      </w:r>
    </w:p>
    <w:p w14:paraId="24B370DE" w14:textId="77777777" w:rsidR="00CB247E" w:rsidRPr="00CB247E" w:rsidRDefault="00CB247E" w:rsidP="00CB247E">
      <w:r w:rsidRPr="00CB247E">
        <w:t>En el sistema previsional de capitalización individual, el ahorro acumulado por los trabajadores se organiza a través de fondos independientes del patrimonio de la administradora. El propósito de este documento es definir las características operativas de estos fondos y su relevancia como inversionistas institucionales que dinamizan el mercado de valores mediante la adquisición de diversos instrumentos financieros.</w:t>
      </w:r>
    </w:p>
    <w:p w14:paraId="12FDC846" w14:textId="77777777" w:rsidR="00CB247E" w:rsidRPr="00CB247E" w:rsidRDefault="00CB247E" w:rsidP="00CB247E">
      <w:r w:rsidRPr="00CB247E">
        <w:pict w14:anchorId="7A4B894C">
          <v:rect id="_x0000_i1062" style="width:0;height:1.5pt" o:hralign="center" o:hrstd="t" o:hr="t" fillcolor="#a0a0a0" stroked="f"/>
        </w:pict>
      </w:r>
    </w:p>
    <w:p w14:paraId="2CF8CDD1" w14:textId="77777777" w:rsidR="00CB247E" w:rsidRPr="00CB247E" w:rsidRDefault="00CB247E" w:rsidP="00CB247E">
      <w:pPr>
        <w:rPr>
          <w:b/>
          <w:bCs/>
        </w:rPr>
      </w:pPr>
      <w:r w:rsidRPr="00CB247E">
        <w:rPr>
          <w:b/>
          <w:bCs/>
        </w:rPr>
        <w:t>Desarrollo del contenido</w:t>
      </w:r>
    </w:p>
    <w:p w14:paraId="5FFCA117" w14:textId="77777777" w:rsidR="00CB247E" w:rsidRPr="00CB247E" w:rsidRDefault="00CB247E" w:rsidP="00CB247E">
      <w:pPr>
        <w:rPr>
          <w:b/>
          <w:bCs/>
        </w:rPr>
      </w:pPr>
      <w:r w:rsidRPr="00CB247E">
        <w:rPr>
          <w:b/>
          <w:bCs/>
        </w:rPr>
        <w:t>Sección 1: Conformación y Administración</w:t>
      </w:r>
    </w:p>
    <w:p w14:paraId="79BCEB35" w14:textId="77777777" w:rsidR="00CB247E" w:rsidRPr="00CB247E" w:rsidRDefault="00CB247E" w:rsidP="00CB247E">
      <w:r w:rsidRPr="00CB247E">
        <w:t>Los fondos representan el ahorro acumulado de los trabajadores bajo una estructura específica:</w:t>
      </w:r>
    </w:p>
    <w:p w14:paraId="5F985A1F" w14:textId="77777777" w:rsidR="00CB247E" w:rsidRPr="00CB247E" w:rsidRDefault="00CB247E" w:rsidP="00CB247E">
      <w:pPr>
        <w:numPr>
          <w:ilvl w:val="0"/>
          <w:numId w:val="1"/>
        </w:numPr>
      </w:pPr>
      <w:r w:rsidRPr="00CB247E">
        <w:rPr>
          <w:b/>
          <w:bCs/>
        </w:rPr>
        <w:t>Origen de los recursos:</w:t>
      </w:r>
      <w:r w:rsidRPr="00CB247E">
        <w:t xml:space="preserve"> Aportes obligatorios y voluntarios depositados en las cuentas de capitalización individual de los afiliados.</w:t>
      </w:r>
    </w:p>
    <w:p w14:paraId="72C6397D" w14:textId="77777777" w:rsidR="00CB247E" w:rsidRPr="00CB247E" w:rsidRDefault="00CB247E" w:rsidP="00CB247E">
      <w:pPr>
        <w:numPr>
          <w:ilvl w:val="0"/>
          <w:numId w:val="1"/>
        </w:numPr>
      </w:pPr>
      <w:r w:rsidRPr="00CB247E">
        <w:rPr>
          <w:b/>
          <w:bCs/>
        </w:rPr>
        <w:t>Gestión profesional:</w:t>
      </w:r>
      <w:r w:rsidRPr="00CB247E">
        <w:t xml:space="preserve"> La recaudación y administración recae exclusivamente en las </w:t>
      </w:r>
      <w:r w:rsidRPr="00CB247E">
        <w:rPr>
          <w:b/>
          <w:bCs/>
        </w:rPr>
        <w:t>Sociedades Administradoras de Fondos de Pensiones (AFP)</w:t>
      </w:r>
      <w:r w:rsidRPr="00CB247E">
        <w:t>.</w:t>
      </w:r>
    </w:p>
    <w:p w14:paraId="399875A2" w14:textId="77777777" w:rsidR="00CB247E" w:rsidRPr="00CB247E" w:rsidRDefault="00CB247E" w:rsidP="00CB247E">
      <w:pPr>
        <w:numPr>
          <w:ilvl w:val="0"/>
          <w:numId w:val="1"/>
        </w:numPr>
      </w:pPr>
      <w:r w:rsidRPr="00CB247E">
        <w:rPr>
          <w:b/>
          <w:bCs/>
        </w:rPr>
        <w:t>Destino:</w:t>
      </w:r>
      <w:r w:rsidRPr="00CB247E">
        <w:t xml:space="preserve"> Financiamiento de la pensión de vejez de los contribuyentes.</w:t>
      </w:r>
    </w:p>
    <w:p w14:paraId="28E5A032" w14:textId="77777777" w:rsidR="00CB247E" w:rsidRPr="00CB247E" w:rsidRDefault="00CB247E" w:rsidP="00CB247E">
      <w:pPr>
        <w:rPr>
          <w:b/>
          <w:bCs/>
        </w:rPr>
      </w:pPr>
      <w:r w:rsidRPr="00CB247E">
        <w:rPr>
          <w:b/>
          <w:bCs/>
        </w:rPr>
        <w:t>Sección 2: Rol en el Mercado de Valores</w:t>
      </w:r>
    </w:p>
    <w:p w14:paraId="0C3F5790" w14:textId="77777777" w:rsidR="00CB247E" w:rsidRPr="00CB247E" w:rsidRDefault="00CB247E" w:rsidP="00CB247E">
      <w:r w:rsidRPr="00CB247E">
        <w:t>Dada la magnitud de los recursos administrados, los Fondos de Pensiones cumplen una función crítica en el ecosistema financiero:</w:t>
      </w:r>
    </w:p>
    <w:p w14:paraId="750EE808" w14:textId="77777777" w:rsidR="00CB247E" w:rsidRPr="00CB247E" w:rsidRDefault="00CB247E" w:rsidP="00CB247E">
      <w:pPr>
        <w:numPr>
          <w:ilvl w:val="0"/>
          <w:numId w:val="2"/>
        </w:numPr>
      </w:pPr>
      <w:r w:rsidRPr="00CB247E">
        <w:rPr>
          <w:b/>
          <w:bCs/>
        </w:rPr>
        <w:lastRenderedPageBreak/>
        <w:t>Demandante de Valores:</w:t>
      </w:r>
      <w:r w:rsidRPr="00CB247E">
        <w:t xml:space="preserve"> Actúan como compradores constantes de instrumentos financieros (acciones, bonos, cuotas de otros fondos, etc.), proveyendo liquidez y profundidad al mercado.</w:t>
      </w:r>
    </w:p>
    <w:p w14:paraId="57E86800" w14:textId="77777777" w:rsidR="00CB247E" w:rsidRPr="00CB247E" w:rsidRDefault="00CB247E" w:rsidP="00CB247E">
      <w:pPr>
        <w:rPr>
          <w:b/>
          <w:bCs/>
        </w:rPr>
      </w:pPr>
      <w:r w:rsidRPr="00CB247E">
        <w:rPr>
          <w:b/>
          <w:bCs/>
        </w:rPr>
        <w:t>Sección 3: Estructura Técnica y Protección Jurídica</w:t>
      </w:r>
    </w:p>
    <w:p w14:paraId="09EAB3D3" w14:textId="77777777" w:rsidR="00CB247E" w:rsidRPr="00CB247E" w:rsidRDefault="00CB247E" w:rsidP="00CB247E">
      <w:r w:rsidRPr="00CB247E">
        <w:t>La operatividad de los fondos se rige por principios de igualdad y resguardo legal:</w:t>
      </w:r>
    </w:p>
    <w:p w14:paraId="0C0167BE" w14:textId="77777777" w:rsidR="00CB247E" w:rsidRPr="00CB247E" w:rsidRDefault="00CB247E" w:rsidP="00CB247E">
      <w:pPr>
        <w:numPr>
          <w:ilvl w:val="0"/>
          <w:numId w:val="3"/>
        </w:numPr>
      </w:pPr>
      <w:r w:rsidRPr="00CB247E">
        <w:rPr>
          <w:b/>
          <w:bCs/>
        </w:rPr>
        <w:t>Unidad de medida (Cuota):</w:t>
      </w:r>
      <w:r w:rsidRPr="00CB247E">
        <w:t xml:space="preserve"> El valor de cada fondo se expresa en cuotas.</w:t>
      </w:r>
    </w:p>
    <w:p w14:paraId="2CF59F71" w14:textId="77777777" w:rsidR="00CB247E" w:rsidRPr="00CB247E" w:rsidRDefault="00CB247E" w:rsidP="00CB247E">
      <w:pPr>
        <w:numPr>
          <w:ilvl w:val="0"/>
          <w:numId w:val="3"/>
        </w:numPr>
      </w:pPr>
      <w:r w:rsidRPr="00CB247E">
        <w:rPr>
          <w:b/>
          <w:bCs/>
        </w:rPr>
        <w:t>Principio de Igualdad:</w:t>
      </w:r>
      <w:r w:rsidRPr="00CB247E">
        <w:t xml:space="preserve"> Todas las cuotas de un mismo fondo deben tener el mismo monto y características técnicas.</w:t>
      </w:r>
    </w:p>
    <w:p w14:paraId="65F28D76" w14:textId="77777777" w:rsidR="00CB247E" w:rsidRPr="00CB247E" w:rsidRDefault="00CB247E" w:rsidP="00CB247E">
      <w:pPr>
        <w:numPr>
          <w:ilvl w:val="0"/>
          <w:numId w:val="3"/>
        </w:numPr>
      </w:pPr>
      <w:r w:rsidRPr="00CB247E">
        <w:rPr>
          <w:b/>
          <w:bCs/>
        </w:rPr>
        <w:t>Inembargabilidad:</w:t>
      </w:r>
      <w:r w:rsidRPr="00CB247E">
        <w:t xml:space="preserve"> Por disposición legal, las cuotas de los Fondos de Pensiones no pueden ser objeto de embargo, asegurando que los recursos no sean desviados de su fin previsional ante obligaciones con terceros.</w:t>
      </w:r>
    </w:p>
    <w:p w14:paraId="2529D8C9" w14:textId="77777777" w:rsidR="00CB247E" w:rsidRPr="00CB247E" w:rsidRDefault="00CB247E" w:rsidP="00CB247E">
      <w:r w:rsidRPr="00CB247E">
        <w:pict w14:anchorId="3EDF1F85">
          <v:rect id="_x0000_i1063" style="width:0;height:1.5pt" o:hralign="center" o:hrstd="t" o:hr="t" fillcolor="#a0a0a0" stroked="f"/>
        </w:pict>
      </w:r>
    </w:p>
    <w:p w14:paraId="516E6698" w14:textId="77777777" w:rsidR="00CB247E" w:rsidRPr="00CB247E" w:rsidRDefault="00CB247E" w:rsidP="00CB247E">
      <w:pPr>
        <w:rPr>
          <w:b/>
          <w:bCs/>
        </w:rPr>
      </w:pPr>
      <w:r w:rsidRPr="00CB247E">
        <w:rPr>
          <w:b/>
          <w:bCs/>
        </w:rPr>
        <w:t>Conceptos financieros clave</w:t>
      </w:r>
    </w:p>
    <w:p w14:paraId="1362AB50" w14:textId="77777777" w:rsidR="00CB247E" w:rsidRPr="00CB247E" w:rsidRDefault="00CB247E" w:rsidP="00CB247E">
      <w:pPr>
        <w:numPr>
          <w:ilvl w:val="0"/>
          <w:numId w:val="4"/>
        </w:numPr>
      </w:pPr>
      <w:r w:rsidRPr="00CB247E">
        <w:rPr>
          <w:b/>
          <w:bCs/>
        </w:rPr>
        <w:t>Capitalización Individual:</w:t>
      </w:r>
      <w:r w:rsidRPr="00CB247E">
        <w:t xml:space="preserve"> Sistema donde cada trabajador es dueño de una cuenta donde se acumulan sus aportes y la rentabilidad generada.</w:t>
      </w:r>
    </w:p>
    <w:p w14:paraId="4B52EA96" w14:textId="77777777" w:rsidR="00CB247E" w:rsidRPr="00CB247E" w:rsidRDefault="00CB247E" w:rsidP="00CB247E">
      <w:pPr>
        <w:numPr>
          <w:ilvl w:val="0"/>
          <w:numId w:val="4"/>
        </w:numPr>
      </w:pPr>
      <w:r w:rsidRPr="00CB247E">
        <w:rPr>
          <w:b/>
          <w:bCs/>
        </w:rPr>
        <w:t>Cuota:</w:t>
      </w:r>
      <w:r w:rsidRPr="00CB247E">
        <w:t xml:space="preserve"> Unidad de medida que representa una fracción del patrimonio total del fondo.</w:t>
      </w:r>
    </w:p>
    <w:p w14:paraId="46FE641E" w14:textId="77777777" w:rsidR="00CB247E" w:rsidRPr="00CB247E" w:rsidRDefault="00CB247E" w:rsidP="00CB247E">
      <w:pPr>
        <w:numPr>
          <w:ilvl w:val="0"/>
          <w:numId w:val="4"/>
        </w:numPr>
      </w:pPr>
      <w:r w:rsidRPr="00CB247E">
        <w:rPr>
          <w:b/>
          <w:bCs/>
        </w:rPr>
        <w:t>Demandante de Valores:</w:t>
      </w:r>
      <w:r w:rsidRPr="00CB247E">
        <w:t xml:space="preserve"> Entidad que acude al mercado con capital para adquirir títulos y activos financieros.</w:t>
      </w:r>
    </w:p>
    <w:p w14:paraId="2853B4C2" w14:textId="77777777" w:rsidR="00CB247E" w:rsidRPr="00CB247E" w:rsidRDefault="00CB247E" w:rsidP="00CB247E">
      <w:r w:rsidRPr="00CB247E">
        <w:pict w14:anchorId="10C91559">
          <v:rect id="_x0000_i1064" style="width:0;height:1.5pt" o:hralign="center" o:hrstd="t" o:hr="t" fillcolor="#a0a0a0" stroked="f"/>
        </w:pict>
      </w:r>
    </w:p>
    <w:p w14:paraId="2E4A327F" w14:textId="77777777" w:rsidR="00CB247E" w:rsidRPr="00CB247E" w:rsidRDefault="00CB247E" w:rsidP="00CB247E">
      <w:pPr>
        <w:rPr>
          <w:b/>
          <w:bCs/>
        </w:rPr>
      </w:pPr>
      <w:r w:rsidRPr="00CB247E">
        <w:rPr>
          <w:b/>
          <w:bCs/>
        </w:rPr>
        <w:t>Conclusiones o ideas clave</w:t>
      </w:r>
    </w:p>
    <w:p w14:paraId="6F7FF891" w14:textId="77777777" w:rsidR="00CB247E" w:rsidRPr="00CB247E" w:rsidRDefault="00CB247E" w:rsidP="00CB247E">
      <w:pPr>
        <w:numPr>
          <w:ilvl w:val="0"/>
          <w:numId w:val="5"/>
        </w:numPr>
      </w:pPr>
      <w:r w:rsidRPr="00CB247E">
        <w:t xml:space="preserve">Los Fondos de Pensiones son el </w:t>
      </w:r>
      <w:r w:rsidRPr="00CB247E">
        <w:rPr>
          <w:b/>
          <w:bCs/>
        </w:rPr>
        <w:t>pilar institucional</w:t>
      </w:r>
      <w:r w:rsidRPr="00CB247E">
        <w:t xml:space="preserve"> de la demanda en el mercado de valores local.</w:t>
      </w:r>
    </w:p>
    <w:p w14:paraId="1B6FC8FD" w14:textId="77777777" w:rsidR="00CB247E" w:rsidRPr="00CB247E" w:rsidRDefault="00CB247E" w:rsidP="00CB247E">
      <w:pPr>
        <w:numPr>
          <w:ilvl w:val="0"/>
          <w:numId w:val="5"/>
        </w:numPr>
      </w:pPr>
      <w:r w:rsidRPr="00CB247E">
        <w:t xml:space="preserve">La </w:t>
      </w:r>
      <w:r w:rsidRPr="00CB247E">
        <w:rPr>
          <w:b/>
          <w:bCs/>
        </w:rPr>
        <w:t>inembargabilidad</w:t>
      </w:r>
      <w:r w:rsidRPr="00CB247E">
        <w:t xml:space="preserve"> es la característica jurídica más relevante para la protección del ahorro de largo plazo del afiliado.</w:t>
      </w:r>
    </w:p>
    <w:p w14:paraId="2A7E648F" w14:textId="77777777" w:rsidR="00CB247E" w:rsidRPr="00CB247E" w:rsidRDefault="00CB247E" w:rsidP="00CB247E">
      <w:pPr>
        <w:numPr>
          <w:ilvl w:val="0"/>
          <w:numId w:val="5"/>
        </w:numPr>
      </w:pPr>
      <w:r w:rsidRPr="00CB247E">
        <w:t>La gestión delegada en las AFP asegura que el patrimonio se administre de forma profesional y separada de las cuentas de la empresa administradora.</w:t>
      </w:r>
    </w:p>
    <w:p w14:paraId="4DE482D6" w14:textId="77777777" w:rsidR="00CB247E" w:rsidRPr="00CB247E" w:rsidRDefault="00CB247E" w:rsidP="00CB247E">
      <w:r w:rsidRPr="00CB247E">
        <w:pict w14:anchorId="0D44BD9E">
          <v:rect id="_x0000_i1065" style="width:0;height:1.5pt" o:hralign="center" o:hrstd="t" o:hr="t" fillcolor="#a0a0a0" stroked="f"/>
        </w:pict>
      </w:r>
    </w:p>
    <w:p w14:paraId="527C311F" w14:textId="77777777" w:rsidR="00CB247E" w:rsidRPr="00CB247E" w:rsidRDefault="00CB247E" w:rsidP="00CB247E">
      <w:pPr>
        <w:rPr>
          <w:b/>
          <w:bCs/>
        </w:rPr>
      </w:pPr>
      <w:r w:rsidRPr="00CB247E">
        <w:rPr>
          <w:b/>
          <w:bCs/>
        </w:rPr>
        <w:t>Supuestos, riesgos o consideraciones relevantes</w:t>
      </w:r>
    </w:p>
    <w:p w14:paraId="017542E4" w14:textId="77777777" w:rsidR="00CB247E" w:rsidRPr="00CB247E" w:rsidRDefault="00CB247E" w:rsidP="00CB247E">
      <w:pPr>
        <w:numPr>
          <w:ilvl w:val="0"/>
          <w:numId w:val="6"/>
        </w:numPr>
      </w:pPr>
      <w:r w:rsidRPr="00CB247E">
        <w:rPr>
          <w:b/>
          <w:bCs/>
        </w:rPr>
        <w:lastRenderedPageBreak/>
        <w:t>Riesgo de Gestión:</w:t>
      </w:r>
      <w:r w:rsidRPr="00CB247E">
        <w:t xml:space="preserve"> La rentabilidad futura de las pensiones depende de la eficacia de las decisiones de inversión tomadas por la AFP dentro del mercado de valores.</w:t>
      </w:r>
    </w:p>
    <w:p w14:paraId="0A93C307" w14:textId="77777777" w:rsidR="00CB247E" w:rsidRPr="00CB247E" w:rsidRDefault="00CB247E" w:rsidP="00CB247E">
      <w:pPr>
        <w:numPr>
          <w:ilvl w:val="0"/>
          <w:numId w:val="6"/>
        </w:numPr>
      </w:pPr>
      <w:r w:rsidRPr="00CB247E">
        <w:rPr>
          <w:b/>
          <w:bCs/>
        </w:rPr>
        <w:t>Riesgo de Mercado:</w:t>
      </w:r>
      <w:r w:rsidRPr="00CB247E">
        <w:t xml:space="preserve"> Al ser demandantes de valores, el patrimonio de los fondos está sujeto a las fluctuaciones de precios de los activos subyacentes.</w:t>
      </w:r>
    </w:p>
    <w:p w14:paraId="61AD9EBC" w14:textId="77777777" w:rsidR="00CB247E" w:rsidRPr="00CB247E" w:rsidRDefault="00CB247E" w:rsidP="00CB247E">
      <w:r w:rsidRPr="00CB247E">
        <w:pict w14:anchorId="212B186A">
          <v:rect id="_x0000_i1066" style="width:0;height:1.5pt" o:hralign="center" o:hrstd="t" o:hr="t" fillcolor="#a0a0a0" stroked="f"/>
        </w:pict>
      </w:r>
    </w:p>
    <w:p w14:paraId="5CAF8AAB" w14:textId="77777777" w:rsidR="00CB247E" w:rsidRPr="00CB247E" w:rsidRDefault="00CB247E" w:rsidP="00CB247E">
      <w:pPr>
        <w:rPr>
          <w:b/>
          <w:bCs/>
        </w:rPr>
      </w:pPr>
      <w:proofErr w:type="gramStart"/>
      <w:r w:rsidRPr="00CB247E">
        <w:rPr>
          <w:b/>
          <w:bCs/>
        </w:rPr>
        <w:t>Puntos a aclarar</w:t>
      </w:r>
      <w:proofErr w:type="gramEnd"/>
      <w:r w:rsidRPr="00CB247E">
        <w:rPr>
          <w:b/>
          <w:bCs/>
        </w:rPr>
        <w:t xml:space="preserve"> / información faltante</w:t>
      </w:r>
    </w:p>
    <w:p w14:paraId="5567A7B9" w14:textId="77777777" w:rsidR="00CB247E" w:rsidRPr="00CB247E" w:rsidRDefault="00CB247E" w:rsidP="00CB247E">
      <w:pPr>
        <w:numPr>
          <w:ilvl w:val="0"/>
          <w:numId w:val="7"/>
        </w:numPr>
      </w:pPr>
      <w:proofErr w:type="spellStart"/>
      <w:r w:rsidRPr="00CB247E">
        <w:rPr>
          <w:b/>
          <w:bCs/>
        </w:rPr>
        <w:t>Multifondos</w:t>
      </w:r>
      <w:proofErr w:type="spellEnd"/>
      <w:r w:rsidRPr="00CB247E">
        <w:rPr>
          <w:b/>
          <w:bCs/>
        </w:rPr>
        <w:t>:</w:t>
      </w:r>
      <w:r w:rsidRPr="00CB247E">
        <w:t xml:space="preserve"> El texto original no menciona la existencia de distintos tipos de fondos (A, B, C, D, E) según su perfil de riesgo y proporción de renta variable.</w:t>
      </w:r>
    </w:p>
    <w:p w14:paraId="049A49BD" w14:textId="77777777" w:rsidR="00CB247E" w:rsidRPr="00CB247E" w:rsidRDefault="00CB247E" w:rsidP="00CB247E">
      <w:pPr>
        <w:numPr>
          <w:ilvl w:val="0"/>
          <w:numId w:val="7"/>
        </w:numPr>
      </w:pPr>
      <w:r w:rsidRPr="00CB247E">
        <w:rPr>
          <w:b/>
          <w:bCs/>
        </w:rPr>
        <w:t>Límites de Inversión:</w:t>
      </w:r>
      <w:r w:rsidRPr="00CB247E">
        <w:t xml:space="preserve"> No se especifican las restricciones legales que tienen las AFP para invertir en ciertos instrumentos o emisores.</w:t>
      </w:r>
    </w:p>
    <w:p w14:paraId="2E0B8FDC" w14:textId="77777777" w:rsidR="00CB247E" w:rsidRPr="00CB247E" w:rsidRDefault="00CB247E" w:rsidP="00CB247E">
      <w:pPr>
        <w:numPr>
          <w:ilvl w:val="0"/>
          <w:numId w:val="7"/>
        </w:numPr>
      </w:pPr>
      <w:r w:rsidRPr="00CB247E">
        <w:rPr>
          <w:b/>
          <w:bCs/>
        </w:rPr>
        <w:t>Encaje:</w:t>
      </w:r>
      <w:r w:rsidRPr="00CB247E">
        <w:t xml:space="preserve"> No se hace referencia a la obligación de la AFP de mantener recursos propios invertidos en los mismos fondos para alinear intereses (mecanismo de garantía).</w:t>
      </w:r>
    </w:p>
    <w:p w14:paraId="123184AA" w14:textId="77777777" w:rsidR="000D1EDE" w:rsidRDefault="000D1EDE"/>
    <w:sectPr w:rsidR="000D1E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86EFA"/>
    <w:multiLevelType w:val="multilevel"/>
    <w:tmpl w:val="71DE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E2D8E"/>
    <w:multiLevelType w:val="multilevel"/>
    <w:tmpl w:val="956A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838FC"/>
    <w:multiLevelType w:val="multilevel"/>
    <w:tmpl w:val="A480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8782F"/>
    <w:multiLevelType w:val="multilevel"/>
    <w:tmpl w:val="EA30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0541E8"/>
    <w:multiLevelType w:val="multilevel"/>
    <w:tmpl w:val="54E8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D719A"/>
    <w:multiLevelType w:val="multilevel"/>
    <w:tmpl w:val="C8F4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0E40B9"/>
    <w:multiLevelType w:val="multilevel"/>
    <w:tmpl w:val="6188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336049">
    <w:abstractNumId w:val="6"/>
  </w:num>
  <w:num w:numId="2" w16cid:durableId="23556201">
    <w:abstractNumId w:val="2"/>
  </w:num>
  <w:num w:numId="3" w16cid:durableId="859320076">
    <w:abstractNumId w:val="3"/>
  </w:num>
  <w:num w:numId="4" w16cid:durableId="169831544">
    <w:abstractNumId w:val="1"/>
  </w:num>
  <w:num w:numId="5" w16cid:durableId="303970036">
    <w:abstractNumId w:val="0"/>
  </w:num>
  <w:num w:numId="6" w16cid:durableId="1676571838">
    <w:abstractNumId w:val="4"/>
  </w:num>
  <w:num w:numId="7" w16cid:durableId="9700945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8A4"/>
    <w:rsid w:val="00071C90"/>
    <w:rsid w:val="000D1EDE"/>
    <w:rsid w:val="00320D26"/>
    <w:rsid w:val="00414AB1"/>
    <w:rsid w:val="006473F9"/>
    <w:rsid w:val="00736F93"/>
    <w:rsid w:val="00AD157B"/>
    <w:rsid w:val="00BB78A4"/>
    <w:rsid w:val="00CB247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2A5E0"/>
  <w15:chartTrackingRefBased/>
  <w15:docId w15:val="{5A6B038E-8D1C-4043-A17C-99D5C3FF2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7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7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78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78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78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78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78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78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78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78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78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78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78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78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78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78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78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78A4"/>
    <w:rPr>
      <w:rFonts w:eastAsiaTheme="majorEastAsia" w:cstheme="majorBidi"/>
      <w:color w:val="272727" w:themeColor="text1" w:themeTint="D8"/>
    </w:rPr>
  </w:style>
  <w:style w:type="paragraph" w:styleId="Ttulo">
    <w:name w:val="Title"/>
    <w:basedOn w:val="Normal"/>
    <w:next w:val="Normal"/>
    <w:link w:val="TtuloCar"/>
    <w:uiPriority w:val="10"/>
    <w:qFormat/>
    <w:rsid w:val="00BB7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78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78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78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78A4"/>
    <w:pPr>
      <w:spacing w:before="160"/>
      <w:jc w:val="center"/>
    </w:pPr>
    <w:rPr>
      <w:i/>
      <w:iCs/>
      <w:color w:val="404040" w:themeColor="text1" w:themeTint="BF"/>
    </w:rPr>
  </w:style>
  <w:style w:type="character" w:customStyle="1" w:styleId="CitaCar">
    <w:name w:val="Cita Car"/>
    <w:basedOn w:val="Fuentedeprrafopredeter"/>
    <w:link w:val="Cita"/>
    <w:uiPriority w:val="29"/>
    <w:rsid w:val="00BB78A4"/>
    <w:rPr>
      <w:i/>
      <w:iCs/>
      <w:color w:val="404040" w:themeColor="text1" w:themeTint="BF"/>
    </w:rPr>
  </w:style>
  <w:style w:type="paragraph" w:styleId="Prrafodelista">
    <w:name w:val="List Paragraph"/>
    <w:basedOn w:val="Normal"/>
    <w:uiPriority w:val="34"/>
    <w:qFormat/>
    <w:rsid w:val="00BB78A4"/>
    <w:pPr>
      <w:ind w:left="720"/>
      <w:contextualSpacing/>
    </w:pPr>
  </w:style>
  <w:style w:type="character" w:styleId="nfasisintenso">
    <w:name w:val="Intense Emphasis"/>
    <w:basedOn w:val="Fuentedeprrafopredeter"/>
    <w:uiPriority w:val="21"/>
    <w:qFormat/>
    <w:rsid w:val="00BB78A4"/>
    <w:rPr>
      <w:i/>
      <w:iCs/>
      <w:color w:val="0F4761" w:themeColor="accent1" w:themeShade="BF"/>
    </w:rPr>
  </w:style>
  <w:style w:type="paragraph" w:styleId="Citadestacada">
    <w:name w:val="Intense Quote"/>
    <w:basedOn w:val="Normal"/>
    <w:next w:val="Normal"/>
    <w:link w:val="CitadestacadaCar"/>
    <w:uiPriority w:val="30"/>
    <w:qFormat/>
    <w:rsid w:val="00BB7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78A4"/>
    <w:rPr>
      <w:i/>
      <w:iCs/>
      <w:color w:val="0F4761" w:themeColor="accent1" w:themeShade="BF"/>
    </w:rPr>
  </w:style>
  <w:style w:type="character" w:styleId="Referenciaintensa">
    <w:name w:val="Intense Reference"/>
    <w:basedOn w:val="Fuentedeprrafopredeter"/>
    <w:uiPriority w:val="32"/>
    <w:qFormat/>
    <w:rsid w:val="00BB78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629</Words>
  <Characters>3465</Characters>
  <Application>Microsoft Office Word</Application>
  <DocSecurity>0</DocSecurity>
  <Lines>28</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MOREIRA ITURRIETA YOHAN A</dc:creator>
  <cp:keywords/>
  <dc:description/>
  <cp:lastModifiedBy>MOREIRA ITURRIETA YOHAN A</cp:lastModifiedBy>
  <cp:revision>2</cp:revision>
  <dcterms:created xsi:type="dcterms:W3CDTF">2026-05-06T23:36:00Z</dcterms:created>
  <dcterms:modified xsi:type="dcterms:W3CDTF">2026-05-06T23:36:00Z</dcterms:modified>
</cp:coreProperties>
</file>