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2E3D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Contratos de Futuros: Mecánica, Cobertura y Regulación Bursátil</w:t>
      </w:r>
    </w:p>
    <w:p w14:paraId="13BCB533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Resumen ejecutivo</w:t>
      </w:r>
    </w:p>
    <w:p w14:paraId="4980339A" w14:textId="77777777" w:rsidR="009F0A33" w:rsidRPr="009F0A33" w:rsidRDefault="009F0A33" w:rsidP="009F0A33">
      <w:r w:rsidRPr="009F0A33">
        <w:t>Los contratos de futuros son derivados financieros estandarizados y transados en bolsa, mediante los cuales las partes se obligan a comprar o vender un activo en una fecha futura a un precio pactado en el presente. Su función principal es la transferencia de riesgo, permitiendo a los agentes estabilizar sus flujos de caja frente a la volatilidad de activos como el dólar o índices accionarios. Operativamente, requieren la intermediación de corredores y la constitución de márgenes de garantía, siendo herramientas aptas tanto para la cobertura de riesgos como para la inversión especulativa.</w:t>
      </w:r>
    </w:p>
    <w:p w14:paraId="56487F20" w14:textId="77777777" w:rsidR="009F0A33" w:rsidRPr="009F0A33" w:rsidRDefault="009F0A33" w:rsidP="009F0A33">
      <w:r w:rsidRPr="009F0A33">
        <w:pict w14:anchorId="4414D8A6">
          <v:rect id="_x0000_i1049" style="width:0;height:1.5pt" o:hralign="center" o:hrstd="t" o:hr="t" fillcolor="#a0a0a0" stroked="f"/>
        </w:pict>
      </w:r>
    </w:p>
    <w:p w14:paraId="3641C2D8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Contexto / Antecedentes</w:t>
      </w:r>
    </w:p>
    <w:p w14:paraId="13DCB89B" w14:textId="77777777" w:rsidR="009F0A33" w:rsidRPr="009F0A33" w:rsidRDefault="009F0A33" w:rsidP="009F0A33">
      <w:r w:rsidRPr="009F0A33">
        <w:t>En el mercado de valores, los futuros surgen como una solución técnica para mitigar la incertidumbre sobre los precios futuros de bienes o activos financieros. Al ser contratos estandarizados y negociados en recintos bursátiles, ofrecen mayor transparencia y seguridad que los acuerdos bilaterales, integrando mecanismos de resguardo como el margen inicial para asegurar el cumplimiento de las obligaciones al vencimiento.</w:t>
      </w:r>
    </w:p>
    <w:p w14:paraId="15A2C783" w14:textId="77777777" w:rsidR="009F0A33" w:rsidRPr="009F0A33" w:rsidRDefault="009F0A33" w:rsidP="009F0A33">
      <w:r w:rsidRPr="009F0A33">
        <w:pict w14:anchorId="6EC8294D">
          <v:rect id="_x0000_i1050" style="width:0;height:1.5pt" o:hralign="center" o:hrstd="t" o:hr="t" fillcolor="#a0a0a0" stroked="f"/>
        </w:pict>
      </w:r>
    </w:p>
    <w:p w14:paraId="20CC9EB8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Desarrollo del contenido</w:t>
      </w:r>
    </w:p>
    <w:p w14:paraId="64F1C02C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Sección 1: Definición y Propósito</w:t>
      </w:r>
    </w:p>
    <w:p w14:paraId="29665531" w14:textId="77777777" w:rsidR="009F0A33" w:rsidRPr="009F0A33" w:rsidRDefault="009F0A33" w:rsidP="009F0A33">
      <w:r w:rsidRPr="009F0A33">
        <w:t>Un futuro es un compromiso contractual con las siguientes características:</w:t>
      </w:r>
    </w:p>
    <w:p w14:paraId="55DF0048" w14:textId="77777777" w:rsidR="009F0A33" w:rsidRPr="009F0A33" w:rsidRDefault="009F0A33" w:rsidP="009F0A33">
      <w:pPr>
        <w:numPr>
          <w:ilvl w:val="0"/>
          <w:numId w:val="1"/>
        </w:numPr>
      </w:pPr>
      <w:r w:rsidRPr="009F0A33">
        <w:rPr>
          <w:b/>
          <w:bCs/>
        </w:rPr>
        <w:t>Estandarización:</w:t>
      </w:r>
      <w:r w:rsidRPr="009F0A33">
        <w:t xml:space="preserve"> Son contratos uniformes transados exclusivamente en Bolsa.</w:t>
      </w:r>
    </w:p>
    <w:p w14:paraId="671AAEEF" w14:textId="77777777" w:rsidR="009F0A33" w:rsidRPr="009F0A33" w:rsidRDefault="009F0A33" w:rsidP="009F0A33">
      <w:pPr>
        <w:numPr>
          <w:ilvl w:val="0"/>
          <w:numId w:val="1"/>
        </w:numPr>
      </w:pPr>
      <w:r w:rsidRPr="009F0A33">
        <w:rPr>
          <w:b/>
          <w:bCs/>
        </w:rPr>
        <w:t>Fijación de Precio:</w:t>
      </w:r>
      <w:r w:rsidRPr="009F0A33">
        <w:t xml:space="preserve"> El valor de la transacción futura se determina en el momento de la firma (presente).</w:t>
      </w:r>
    </w:p>
    <w:p w14:paraId="05B5EC6E" w14:textId="77777777" w:rsidR="009F0A33" w:rsidRPr="009F0A33" w:rsidRDefault="009F0A33" w:rsidP="009F0A33">
      <w:pPr>
        <w:numPr>
          <w:ilvl w:val="0"/>
          <w:numId w:val="1"/>
        </w:numPr>
      </w:pPr>
      <w:r w:rsidRPr="009F0A33">
        <w:rPr>
          <w:b/>
          <w:bCs/>
        </w:rPr>
        <w:t>Finalidad Económica:</w:t>
      </w:r>
      <w:r w:rsidRPr="009F0A33">
        <w:t xml:space="preserve"> Permite que agentes con riesgos opuestos eliminen la exposición a la fluctuación de precios, logrando una estabilidad en sus flujos financieros.</w:t>
      </w:r>
    </w:p>
    <w:p w14:paraId="2F3BF720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Sección 2: Activos Subyacentes y Funcionamiento</w:t>
      </w:r>
    </w:p>
    <w:p w14:paraId="2A846530" w14:textId="77777777" w:rsidR="009F0A33" w:rsidRPr="009F0A33" w:rsidRDefault="009F0A33" w:rsidP="009F0A33">
      <w:r w:rsidRPr="009F0A33">
        <w:t>Los contratos se referencian a activos específicos cuyo valor fluctúa en el mercado:</w:t>
      </w:r>
    </w:p>
    <w:p w14:paraId="342A9EC1" w14:textId="77777777" w:rsidR="009F0A33" w:rsidRPr="009F0A33" w:rsidRDefault="009F0A33" w:rsidP="009F0A33">
      <w:pPr>
        <w:numPr>
          <w:ilvl w:val="0"/>
          <w:numId w:val="2"/>
        </w:numPr>
      </w:pPr>
      <w:r w:rsidRPr="009F0A33">
        <w:rPr>
          <w:b/>
          <w:bCs/>
        </w:rPr>
        <w:lastRenderedPageBreak/>
        <w:t>Tipos de Activos:</w:t>
      </w:r>
    </w:p>
    <w:p w14:paraId="6219346B" w14:textId="77777777" w:rsidR="009F0A33" w:rsidRPr="009F0A33" w:rsidRDefault="009F0A33" w:rsidP="009F0A33">
      <w:pPr>
        <w:numPr>
          <w:ilvl w:val="1"/>
          <w:numId w:val="2"/>
        </w:numPr>
      </w:pPr>
      <w:r w:rsidRPr="009F0A33">
        <w:rPr>
          <w:b/>
          <w:bCs/>
        </w:rPr>
        <w:t>Dólar USA:</w:t>
      </w:r>
      <w:r w:rsidRPr="009F0A33">
        <w:t xml:space="preserve"> El precio varía según el "dólar observado".</w:t>
      </w:r>
    </w:p>
    <w:p w14:paraId="7BFCD2B2" w14:textId="77777777" w:rsidR="009F0A33" w:rsidRPr="009F0A33" w:rsidRDefault="009F0A33" w:rsidP="009F0A33">
      <w:pPr>
        <w:numPr>
          <w:ilvl w:val="1"/>
          <w:numId w:val="2"/>
        </w:numPr>
      </w:pPr>
      <w:r w:rsidRPr="009F0A33">
        <w:rPr>
          <w:b/>
          <w:bCs/>
        </w:rPr>
        <w:t>Monto en Pesos:</w:t>
      </w:r>
      <w:r w:rsidRPr="009F0A33">
        <w:t xml:space="preserve"> Vinculado a las fluctuaciones de un índice de precios accionario relevante.</w:t>
      </w:r>
    </w:p>
    <w:p w14:paraId="2D2BF119" w14:textId="77777777" w:rsidR="009F0A33" w:rsidRPr="009F0A33" w:rsidRDefault="009F0A33" w:rsidP="009F0A33">
      <w:pPr>
        <w:numPr>
          <w:ilvl w:val="0"/>
          <w:numId w:val="2"/>
        </w:numPr>
      </w:pPr>
      <w:r w:rsidRPr="009F0A33">
        <w:rPr>
          <w:b/>
          <w:bCs/>
        </w:rPr>
        <w:t>Mecanismo de Garantía (Margen Inicial):</w:t>
      </w:r>
    </w:p>
    <w:p w14:paraId="09CD1E6F" w14:textId="77777777" w:rsidR="009F0A33" w:rsidRPr="009F0A33" w:rsidRDefault="009F0A33" w:rsidP="009F0A33">
      <w:pPr>
        <w:numPr>
          <w:ilvl w:val="1"/>
          <w:numId w:val="2"/>
        </w:numPr>
      </w:pPr>
      <w:r w:rsidRPr="009F0A33">
        <w:t xml:space="preserve">Al suscribir el contrato, las partes deben entregar un </w:t>
      </w:r>
      <w:r w:rsidRPr="009F0A33">
        <w:rPr>
          <w:b/>
          <w:bCs/>
        </w:rPr>
        <w:t>margen inicial</w:t>
      </w:r>
      <w:r w:rsidRPr="009F0A33">
        <w:t xml:space="preserve"> (un porcentaje sobre el valor total del contrato).</w:t>
      </w:r>
    </w:p>
    <w:p w14:paraId="1D152D57" w14:textId="77777777" w:rsidR="009F0A33" w:rsidRPr="009F0A33" w:rsidRDefault="009F0A33" w:rsidP="009F0A33">
      <w:pPr>
        <w:numPr>
          <w:ilvl w:val="1"/>
          <w:numId w:val="2"/>
        </w:numPr>
      </w:pPr>
      <w:r w:rsidRPr="009F0A33">
        <w:t>Este monto actúa como garantía ante eventuales pérdidas al vencimiento.</w:t>
      </w:r>
    </w:p>
    <w:p w14:paraId="5079321B" w14:textId="77777777" w:rsidR="009F0A33" w:rsidRPr="009F0A33" w:rsidRDefault="009F0A33" w:rsidP="009F0A33">
      <w:pPr>
        <w:numPr>
          <w:ilvl w:val="1"/>
          <w:numId w:val="2"/>
        </w:numPr>
      </w:pPr>
      <w:r w:rsidRPr="009F0A33">
        <w:t>El margen se gestiona a través del corredor de bolsa y puede ser retirado una vez que se cierra la posición.</w:t>
      </w:r>
    </w:p>
    <w:p w14:paraId="548404EF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Sección 3: Participantes y Perfil de Riesgo</w:t>
      </w:r>
    </w:p>
    <w:p w14:paraId="67BE1778" w14:textId="77777777" w:rsidR="009F0A33" w:rsidRPr="009F0A33" w:rsidRDefault="009F0A33" w:rsidP="009F0A33">
      <w:r w:rsidRPr="009F0A33">
        <w:t>El mercado de futuros atrae a dos perfiles diferenciados:</w:t>
      </w:r>
    </w:p>
    <w:p w14:paraId="02973DD9" w14:textId="77777777" w:rsidR="009F0A33" w:rsidRPr="009F0A33" w:rsidRDefault="009F0A33" w:rsidP="009F0A33">
      <w:pPr>
        <w:numPr>
          <w:ilvl w:val="0"/>
          <w:numId w:val="3"/>
        </w:numPr>
      </w:pPr>
      <w:r w:rsidRPr="009F0A33">
        <w:rPr>
          <w:b/>
          <w:bCs/>
        </w:rPr>
        <w:t>Coberturistas:</w:t>
      </w:r>
      <w:r w:rsidRPr="009F0A33">
        <w:t xml:space="preserve"> Personas o entidades que buscan protegerse de riesgos financieros existentes en su flujo de caja.</w:t>
      </w:r>
    </w:p>
    <w:p w14:paraId="7F2C6CD8" w14:textId="77777777" w:rsidR="009F0A33" w:rsidRPr="009F0A33" w:rsidRDefault="009F0A33" w:rsidP="009F0A33">
      <w:pPr>
        <w:numPr>
          <w:ilvl w:val="0"/>
          <w:numId w:val="3"/>
        </w:numPr>
      </w:pPr>
      <w:r w:rsidRPr="009F0A33">
        <w:rPr>
          <w:b/>
          <w:bCs/>
        </w:rPr>
        <w:t>Inversionistas/Especuladores:</w:t>
      </w:r>
      <w:r w:rsidRPr="009F0A33">
        <w:t xml:space="preserve"> Agentes dispuestos a asumir el riesgo de precio a cambio de una ganancia probable derivada de la fluctuación.</w:t>
      </w:r>
    </w:p>
    <w:p w14:paraId="66589175" w14:textId="77777777" w:rsidR="009F0A33" w:rsidRPr="009F0A33" w:rsidRDefault="009F0A33" w:rsidP="009F0A33">
      <w:pPr>
        <w:numPr>
          <w:ilvl w:val="0"/>
          <w:numId w:val="4"/>
        </w:numPr>
      </w:pPr>
      <w:r w:rsidRPr="009F0A33">
        <w:rPr>
          <w:b/>
          <w:bCs/>
        </w:rPr>
        <w:t>Riesgo Principal:</w:t>
      </w:r>
      <w:r w:rsidRPr="009F0A33">
        <w:t xml:space="preserve"> Está asociado directamente a los cambios de precio en los contratos durante su vigencia.</w:t>
      </w:r>
    </w:p>
    <w:p w14:paraId="6ED11124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Sección 4: Operatividad y Contratación</w:t>
      </w:r>
    </w:p>
    <w:p w14:paraId="658B7189" w14:textId="77777777" w:rsidR="009F0A33" w:rsidRPr="009F0A33" w:rsidRDefault="009F0A33" w:rsidP="009F0A33">
      <w:r w:rsidRPr="009F0A33">
        <w:t>La ejecución de estos instrumentos requiere formalidades legales y técnicas:</w:t>
      </w:r>
    </w:p>
    <w:p w14:paraId="318F7E7F" w14:textId="77777777" w:rsidR="009F0A33" w:rsidRPr="009F0A33" w:rsidRDefault="009F0A33" w:rsidP="009F0A33">
      <w:pPr>
        <w:numPr>
          <w:ilvl w:val="0"/>
          <w:numId w:val="5"/>
        </w:numPr>
      </w:pPr>
      <w:r w:rsidRPr="009F0A33">
        <w:rPr>
          <w:b/>
          <w:bCs/>
        </w:rPr>
        <w:t>Intermediación:</w:t>
      </w:r>
      <w:r w:rsidRPr="009F0A33">
        <w:t xml:space="preserve"> Es obligatorio contactar a un intermediario de valores inscrito en la CMF (Corredor de Bolsa o Agente de Valores).</w:t>
      </w:r>
    </w:p>
    <w:p w14:paraId="68F48CED" w14:textId="77777777" w:rsidR="009F0A33" w:rsidRPr="009F0A33" w:rsidRDefault="009F0A33" w:rsidP="009F0A33">
      <w:pPr>
        <w:numPr>
          <w:ilvl w:val="0"/>
          <w:numId w:val="5"/>
        </w:numPr>
      </w:pPr>
      <w:r w:rsidRPr="009F0A33">
        <w:rPr>
          <w:b/>
          <w:bCs/>
        </w:rPr>
        <w:t>Vencimiento:</w:t>
      </w:r>
      <w:r w:rsidRPr="009F0A33">
        <w:t xml:space="preserve"> El contrato puede finalizar en la fecha pactada o de forma anticipada. El plazo es variable según el activo y las condiciones contractuales.</w:t>
      </w:r>
    </w:p>
    <w:p w14:paraId="08CF422F" w14:textId="77777777" w:rsidR="009F0A33" w:rsidRPr="009F0A33" w:rsidRDefault="009F0A33" w:rsidP="009F0A33">
      <w:pPr>
        <w:numPr>
          <w:ilvl w:val="0"/>
          <w:numId w:val="5"/>
        </w:numPr>
      </w:pPr>
      <w:r w:rsidRPr="009F0A33">
        <w:rPr>
          <w:b/>
          <w:bCs/>
        </w:rPr>
        <w:t>Legalidad:</w:t>
      </w:r>
      <w:r w:rsidRPr="009F0A33">
        <w:t xml:space="preserve"> El activo subyacente es </w:t>
      </w:r>
      <w:r w:rsidRPr="009F0A33">
        <w:rPr>
          <w:b/>
          <w:bCs/>
        </w:rPr>
        <w:t>embargable</w:t>
      </w:r>
      <w:r w:rsidRPr="009F0A33">
        <w:t>. Los inversionistas tienen el derecho de exigir toda la información necesaria al intermediario antes de firmar.</w:t>
      </w:r>
    </w:p>
    <w:p w14:paraId="122AAFA3" w14:textId="77777777" w:rsidR="009F0A33" w:rsidRPr="009F0A33" w:rsidRDefault="009F0A33" w:rsidP="009F0A33">
      <w:r w:rsidRPr="009F0A33">
        <w:pict w14:anchorId="0FE56404">
          <v:rect id="_x0000_i1051" style="width:0;height:1.5pt" o:hralign="center" o:hrstd="t" o:hr="t" fillcolor="#a0a0a0" stroked="f"/>
        </w:pict>
      </w:r>
    </w:p>
    <w:p w14:paraId="0AA0BA4A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lastRenderedPageBreak/>
        <w:t>Conclusiones o ideas clave</w:t>
      </w:r>
    </w:p>
    <w:p w14:paraId="53175397" w14:textId="77777777" w:rsidR="009F0A33" w:rsidRPr="009F0A33" w:rsidRDefault="009F0A33" w:rsidP="009F0A33">
      <w:pPr>
        <w:numPr>
          <w:ilvl w:val="0"/>
          <w:numId w:val="6"/>
        </w:numPr>
      </w:pPr>
      <w:r w:rsidRPr="009F0A33">
        <w:rPr>
          <w:b/>
          <w:bCs/>
        </w:rPr>
        <w:t>Gestión de Flujos:</w:t>
      </w:r>
      <w:r w:rsidRPr="009F0A33">
        <w:t xml:space="preserve"> El futuro es, ante todo, una herramienta de planificación financiera para "congelar" precios futuros.</w:t>
      </w:r>
    </w:p>
    <w:p w14:paraId="40EEB63A" w14:textId="77777777" w:rsidR="009F0A33" w:rsidRPr="009F0A33" w:rsidRDefault="009F0A33" w:rsidP="009F0A33">
      <w:pPr>
        <w:numPr>
          <w:ilvl w:val="0"/>
          <w:numId w:val="6"/>
        </w:numPr>
      </w:pPr>
      <w:r w:rsidRPr="009F0A33">
        <w:rPr>
          <w:b/>
          <w:bCs/>
        </w:rPr>
        <w:t>Transparencia Bursátil:</w:t>
      </w:r>
      <w:r w:rsidRPr="009F0A33">
        <w:t xml:space="preserve"> Al transarse en bolsa, los contratos cuentan con precios públicos y reglas de operación claras.</w:t>
      </w:r>
    </w:p>
    <w:p w14:paraId="20D197E7" w14:textId="77777777" w:rsidR="009F0A33" w:rsidRPr="009F0A33" w:rsidRDefault="009F0A33" w:rsidP="009F0A33">
      <w:pPr>
        <w:numPr>
          <w:ilvl w:val="0"/>
          <w:numId w:val="6"/>
        </w:numPr>
      </w:pPr>
      <w:r w:rsidRPr="009F0A33">
        <w:rPr>
          <w:b/>
          <w:bCs/>
        </w:rPr>
        <w:t>Garantía de Cumplimiento:</w:t>
      </w:r>
      <w:r w:rsidRPr="009F0A33">
        <w:t xml:space="preserve"> El sistema de márgenes asegura que ambas partes tengan respaldo financiero para honrar el compromiso, reduciendo el riesgo de contraparte.</w:t>
      </w:r>
    </w:p>
    <w:p w14:paraId="23BD41AD" w14:textId="77777777" w:rsidR="009F0A33" w:rsidRPr="009F0A33" w:rsidRDefault="009F0A33" w:rsidP="009F0A33">
      <w:r w:rsidRPr="009F0A33">
        <w:pict w14:anchorId="6E3A9670">
          <v:rect id="_x0000_i1052" style="width:0;height:1.5pt" o:hralign="center" o:hrstd="t" o:hr="t" fillcolor="#a0a0a0" stroked="f"/>
        </w:pict>
      </w:r>
    </w:p>
    <w:p w14:paraId="2E8D4BA3" w14:textId="77777777" w:rsidR="009F0A33" w:rsidRPr="009F0A33" w:rsidRDefault="009F0A33" w:rsidP="009F0A33">
      <w:pPr>
        <w:rPr>
          <w:b/>
          <w:bCs/>
        </w:rPr>
      </w:pPr>
      <w:r w:rsidRPr="009F0A33">
        <w:rPr>
          <w:b/>
          <w:bCs/>
        </w:rPr>
        <w:t>Puntos a aclarar / información faltante</w:t>
      </w:r>
    </w:p>
    <w:p w14:paraId="7D9B721F" w14:textId="77777777" w:rsidR="009F0A33" w:rsidRPr="009F0A33" w:rsidRDefault="009F0A33" w:rsidP="009F0A33">
      <w:pPr>
        <w:numPr>
          <w:ilvl w:val="0"/>
          <w:numId w:val="7"/>
        </w:numPr>
      </w:pPr>
      <w:r w:rsidRPr="009F0A33">
        <w:rPr>
          <w:b/>
          <w:bCs/>
        </w:rPr>
        <w:t>Índices Accionarios Específicos:</w:t>
      </w:r>
      <w:r w:rsidRPr="009F0A33">
        <w:t xml:space="preserve"> El texto menciona "un índice de precios accionario relevante", pero no especifica cuáles (ej. IPSA).</w:t>
      </w:r>
    </w:p>
    <w:p w14:paraId="4F75FB28" w14:textId="77777777" w:rsidR="009F0A33" w:rsidRPr="009F0A33" w:rsidRDefault="009F0A33" w:rsidP="009F0A33">
      <w:pPr>
        <w:numPr>
          <w:ilvl w:val="0"/>
          <w:numId w:val="7"/>
        </w:numPr>
      </w:pPr>
      <w:r w:rsidRPr="009F0A33">
        <w:rPr>
          <w:b/>
          <w:bCs/>
        </w:rPr>
        <w:t>Porcentajes de Margen:</w:t>
      </w:r>
      <w:r w:rsidRPr="009F0A33">
        <w:t xml:space="preserve"> No se define el rango porcentual habitual del margen inicial, el cual varía según la volatilidad del activo.</w:t>
      </w:r>
    </w:p>
    <w:p w14:paraId="7C311CF2" w14:textId="77777777" w:rsidR="009F0A33" w:rsidRPr="009F0A33" w:rsidRDefault="009F0A33" w:rsidP="009F0A33">
      <w:pPr>
        <w:numPr>
          <w:ilvl w:val="0"/>
          <w:numId w:val="7"/>
        </w:numPr>
      </w:pPr>
      <w:r w:rsidRPr="009F0A33">
        <w:rPr>
          <w:b/>
          <w:bCs/>
        </w:rPr>
        <w:t>Costos de Intermediación:</w:t>
      </w:r>
      <w:r w:rsidRPr="009F0A33">
        <w:t xml:space="preserve"> Se mencionan "cobros de intermediación", pero no se detalla si son fijos, variables o si incluyen derechos de bolsa.</w:t>
      </w:r>
    </w:p>
    <w:p w14:paraId="033073F1" w14:textId="77777777" w:rsidR="009F0A33" w:rsidRPr="009F0A33" w:rsidRDefault="009F0A33" w:rsidP="009F0A33">
      <w:pPr>
        <w:numPr>
          <w:ilvl w:val="0"/>
          <w:numId w:val="7"/>
        </w:numPr>
      </w:pPr>
      <w:r w:rsidRPr="009F0A33">
        <w:rPr>
          <w:b/>
          <w:bCs/>
        </w:rPr>
        <w:t>Liquidación:</w:t>
      </w:r>
      <w:r w:rsidRPr="009F0A33">
        <w:t xml:space="preserve"> No se aclara si la liquidación es física (entrega del activo) o financiera (pago de la diferencia en efectivo), lo cual es crítico para activos como el dólar.</w:t>
      </w:r>
    </w:p>
    <w:p w14:paraId="78D98D4A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EDD"/>
    <w:multiLevelType w:val="multilevel"/>
    <w:tmpl w:val="B9C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44FE"/>
    <w:multiLevelType w:val="multilevel"/>
    <w:tmpl w:val="068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57EFA"/>
    <w:multiLevelType w:val="multilevel"/>
    <w:tmpl w:val="2E6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8489C"/>
    <w:multiLevelType w:val="multilevel"/>
    <w:tmpl w:val="75F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564CB"/>
    <w:multiLevelType w:val="multilevel"/>
    <w:tmpl w:val="24B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E7D32"/>
    <w:multiLevelType w:val="multilevel"/>
    <w:tmpl w:val="8338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4725B"/>
    <w:multiLevelType w:val="multilevel"/>
    <w:tmpl w:val="C26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828780">
    <w:abstractNumId w:val="6"/>
  </w:num>
  <w:num w:numId="2" w16cid:durableId="1229224193">
    <w:abstractNumId w:val="3"/>
  </w:num>
  <w:num w:numId="3" w16cid:durableId="932594350">
    <w:abstractNumId w:val="5"/>
  </w:num>
  <w:num w:numId="4" w16cid:durableId="1855880741">
    <w:abstractNumId w:val="2"/>
  </w:num>
  <w:num w:numId="5" w16cid:durableId="911081496">
    <w:abstractNumId w:val="1"/>
  </w:num>
  <w:num w:numId="6" w16cid:durableId="1758209574">
    <w:abstractNumId w:val="4"/>
  </w:num>
  <w:num w:numId="7" w16cid:durableId="98455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7B"/>
    <w:rsid w:val="00071C90"/>
    <w:rsid w:val="000D1EDE"/>
    <w:rsid w:val="000D3A7B"/>
    <w:rsid w:val="00320D26"/>
    <w:rsid w:val="00414AB1"/>
    <w:rsid w:val="006473F9"/>
    <w:rsid w:val="00736F93"/>
    <w:rsid w:val="009F0A33"/>
    <w:rsid w:val="00D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CF25"/>
  <w15:chartTrackingRefBased/>
  <w15:docId w15:val="{A7976615-C8D8-4D1E-A129-5BC38F2B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2026-05-06T23:43:00Z</dcterms:created>
  <dcterms:modified xsi:type="dcterms:W3CDTF">2026-05-06T23:43:00Z</dcterms:modified>
</cp:coreProperties>
</file>