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DF80" w14:textId="77777777" w:rsidR="00662CEB" w:rsidRPr="00662CEB" w:rsidRDefault="00662CEB" w:rsidP="00662CEB">
      <w:pPr>
        <w:rPr>
          <w:b/>
          <w:bCs/>
        </w:rPr>
      </w:pPr>
      <w:r w:rsidRPr="00662CEB">
        <w:rPr>
          <w:b/>
          <w:bCs/>
        </w:rPr>
        <w:t>Análisis Técnico de la Ganancia de Capital</w:t>
      </w:r>
    </w:p>
    <w:p w14:paraId="4BEC37FF" w14:textId="77777777" w:rsidR="00662CEB" w:rsidRPr="00662CEB" w:rsidRDefault="00662CEB" w:rsidP="00662CEB">
      <w:pPr>
        <w:rPr>
          <w:b/>
          <w:bCs/>
        </w:rPr>
      </w:pPr>
      <w:r w:rsidRPr="00662CEB">
        <w:rPr>
          <w:b/>
          <w:bCs/>
        </w:rPr>
        <w:t>Resumen Ejecutivo</w:t>
      </w:r>
    </w:p>
    <w:p w14:paraId="402D0D46" w14:textId="77777777" w:rsidR="00662CEB" w:rsidRPr="00662CEB" w:rsidRDefault="00662CEB" w:rsidP="00662CEB">
      <w:r w:rsidRPr="00662CEB">
        <w:t>La ganancia de capital representa el incremento en el valor de un activo financiero o bien de inversión desde el momento de su adquisición hasta su enajenación. Se manifiesta como un resultado económico positivo derivado de una transacción donde el valor de liquidación supera el costo de la inversión inicial. Este indicador es fundamental para medir la rentabilidad de una operación y constituye el motor principal del crecimiento patrimonial en los mercados de capitales.</w:t>
      </w:r>
    </w:p>
    <w:p w14:paraId="1B6315E4" w14:textId="77777777" w:rsidR="00662CEB" w:rsidRPr="00662CEB" w:rsidRDefault="00662CEB" w:rsidP="00662CEB">
      <w:r w:rsidRPr="00662CEB">
        <w:pict w14:anchorId="2F158201">
          <v:rect id="_x0000_i1061" style="width:0;height:1.5pt" o:hralign="center" o:hrstd="t" o:hr="t" fillcolor="#a0a0a0" stroked="f"/>
        </w:pict>
      </w:r>
    </w:p>
    <w:p w14:paraId="434B8F0A" w14:textId="77777777" w:rsidR="00662CEB" w:rsidRPr="00662CEB" w:rsidRDefault="00662CEB" w:rsidP="00662CEB">
      <w:pPr>
        <w:rPr>
          <w:b/>
          <w:bCs/>
        </w:rPr>
      </w:pPr>
      <w:r w:rsidRPr="00662CEB">
        <w:rPr>
          <w:b/>
          <w:bCs/>
        </w:rPr>
        <w:t>Contexto y Propósito del Documento</w:t>
      </w:r>
    </w:p>
    <w:p w14:paraId="44BB49D9" w14:textId="77777777" w:rsidR="00662CEB" w:rsidRPr="00662CEB" w:rsidRDefault="00662CEB" w:rsidP="00662CEB">
      <w:r w:rsidRPr="00662CEB">
        <w:t>El presente documento tiene como objetivo definir y estructurar la mecánica de cálculo de la ganancia de capital. Comprender este concepto es esencial para la evaluación del desempeño de portafolios de inversión, la planificación financiera y la gestión de activos, permitiendo diferenciar entre el capital recuperado y el rendimiento excedente generado por la valorización del mercado.</w:t>
      </w:r>
    </w:p>
    <w:p w14:paraId="600CF427" w14:textId="77777777" w:rsidR="00662CEB" w:rsidRPr="00662CEB" w:rsidRDefault="00662CEB" w:rsidP="00662CEB">
      <w:r w:rsidRPr="00662CEB">
        <w:pict w14:anchorId="67291B7B">
          <v:rect id="_x0000_i1062" style="width:0;height:1.5pt" o:hralign="center" o:hrstd="t" o:hr="t" fillcolor="#a0a0a0" stroked="f"/>
        </w:pict>
      </w:r>
    </w:p>
    <w:p w14:paraId="6BFF72B4" w14:textId="77777777" w:rsidR="00662CEB" w:rsidRPr="00662CEB" w:rsidRDefault="00662CEB" w:rsidP="00662CEB">
      <w:pPr>
        <w:rPr>
          <w:b/>
          <w:bCs/>
        </w:rPr>
      </w:pPr>
      <w:r w:rsidRPr="00662CEB">
        <w:rPr>
          <w:b/>
          <w:bCs/>
        </w:rPr>
        <w:t>Desarrollo del Contenido</w:t>
      </w:r>
    </w:p>
    <w:p w14:paraId="41E04ADE" w14:textId="77777777" w:rsidR="00662CEB" w:rsidRPr="00662CEB" w:rsidRDefault="00662CEB" w:rsidP="00662CEB">
      <w:pPr>
        <w:rPr>
          <w:b/>
          <w:bCs/>
        </w:rPr>
      </w:pPr>
      <w:r w:rsidRPr="00662CEB">
        <w:rPr>
          <w:b/>
          <w:bCs/>
        </w:rPr>
        <w:t>Sección 1: Mecánica de Cálculo y Determinación</w:t>
      </w:r>
    </w:p>
    <w:p w14:paraId="54A4FAA4" w14:textId="77777777" w:rsidR="00662CEB" w:rsidRPr="00662CEB" w:rsidRDefault="00662CEB" w:rsidP="00662CEB">
      <w:r w:rsidRPr="00662CEB">
        <w:t>La ganancia de capital se cuantifica mediante la comparación directa entre el flujo de salida inicial y el flujo de entrada final de una operación:</w:t>
      </w:r>
    </w:p>
    <w:p w14:paraId="5830572B" w14:textId="77777777" w:rsidR="00662CEB" w:rsidRPr="00662CEB" w:rsidRDefault="00662CEB" w:rsidP="00662CEB">
      <w:pPr>
        <w:numPr>
          <w:ilvl w:val="0"/>
          <w:numId w:val="1"/>
        </w:numPr>
      </w:pPr>
      <w:r w:rsidRPr="00662CEB">
        <w:rPr>
          <w:b/>
          <w:bCs/>
        </w:rPr>
        <w:t>Inversión Inicial:</w:t>
      </w:r>
      <w:r w:rsidRPr="00662CEB">
        <w:t xml:space="preserve"> Corresponde al precio de adquisición o desembolso original realizado para tomar posesión del activo.</w:t>
      </w:r>
    </w:p>
    <w:p w14:paraId="518CF48C" w14:textId="77777777" w:rsidR="00662CEB" w:rsidRPr="00662CEB" w:rsidRDefault="00662CEB" w:rsidP="00662CEB">
      <w:pPr>
        <w:numPr>
          <w:ilvl w:val="0"/>
          <w:numId w:val="1"/>
        </w:numPr>
      </w:pPr>
      <w:r w:rsidRPr="00662CEB">
        <w:rPr>
          <w:b/>
          <w:bCs/>
        </w:rPr>
        <w:t>Precio de Venta:</w:t>
      </w:r>
      <w:r w:rsidRPr="00662CEB">
        <w:t xml:space="preserve"> Es el valor efectivo obtenido al momento de liquidar o transferir la propiedad del activo a un tercero.</w:t>
      </w:r>
    </w:p>
    <w:p w14:paraId="278E763A" w14:textId="77777777" w:rsidR="00662CEB" w:rsidRPr="00662CEB" w:rsidRDefault="00662CEB" w:rsidP="00662CEB">
      <w:r w:rsidRPr="00662CEB">
        <w:rPr>
          <w:b/>
          <w:bCs/>
        </w:rPr>
        <w:t>Condición Matemática:</w:t>
      </w:r>
    </w:p>
    <w:p w14:paraId="1F5A60F8" w14:textId="77777777" w:rsidR="00662CEB" w:rsidRPr="00662CEB" w:rsidRDefault="00662CEB" w:rsidP="00662CEB">
      <w:r w:rsidRPr="00662CEB">
        <w:t>Existe ganancia de capital si y solo si el precio de venta es estrictamente superior a la inversión inicial. La relación se expresa mediante la fórmula:</w:t>
      </w:r>
    </w:p>
    <w:p w14:paraId="6946D206" w14:textId="77777777" w:rsidR="00662CEB" w:rsidRPr="00662CEB" w:rsidRDefault="00662CEB" w:rsidP="00662CEB">
      <w:r w:rsidRPr="00662CEB">
        <w:t>$$\</w:t>
      </w:r>
      <w:proofErr w:type="spellStart"/>
      <w:r w:rsidRPr="00662CEB">
        <w:t>text</w:t>
      </w:r>
      <w:proofErr w:type="spellEnd"/>
      <w:r w:rsidRPr="00662CEB">
        <w:t>{Ganancia de Capital} = \</w:t>
      </w:r>
      <w:proofErr w:type="spellStart"/>
      <w:r w:rsidRPr="00662CEB">
        <w:t>text</w:t>
      </w:r>
      <w:proofErr w:type="spellEnd"/>
      <w:r w:rsidRPr="00662CEB">
        <w:t>{Precio de Venta} - \</w:t>
      </w:r>
      <w:proofErr w:type="spellStart"/>
      <w:r w:rsidRPr="00662CEB">
        <w:t>text</w:t>
      </w:r>
      <w:proofErr w:type="spellEnd"/>
      <w:r w:rsidRPr="00662CEB">
        <w:t>{Inversión Inicial}$$</w:t>
      </w:r>
    </w:p>
    <w:p w14:paraId="5CF41867" w14:textId="77777777" w:rsidR="00662CEB" w:rsidRPr="00662CEB" w:rsidRDefault="00662CEB" w:rsidP="00662CEB">
      <w:r w:rsidRPr="00662CEB">
        <w:t>$$\</w:t>
      </w:r>
      <w:proofErr w:type="spellStart"/>
      <w:r w:rsidRPr="00662CEB">
        <w:t>text</w:t>
      </w:r>
      <w:proofErr w:type="spellEnd"/>
      <w:r w:rsidRPr="00662CEB">
        <w:t>{Donde: } \</w:t>
      </w:r>
      <w:proofErr w:type="spellStart"/>
      <w:r w:rsidRPr="00662CEB">
        <w:t>text</w:t>
      </w:r>
      <w:proofErr w:type="spellEnd"/>
      <w:r w:rsidRPr="00662CEB">
        <w:t>{Precio de Venta} &gt; \</w:t>
      </w:r>
      <w:proofErr w:type="spellStart"/>
      <w:r w:rsidRPr="00662CEB">
        <w:t>text</w:t>
      </w:r>
      <w:proofErr w:type="spellEnd"/>
      <w:r w:rsidRPr="00662CEB">
        <w:t>{Inversión Inicial}$$</w:t>
      </w:r>
    </w:p>
    <w:p w14:paraId="1B591AA9" w14:textId="77777777" w:rsidR="00662CEB" w:rsidRPr="00662CEB" w:rsidRDefault="00662CEB" w:rsidP="00662CEB">
      <w:pPr>
        <w:rPr>
          <w:b/>
          <w:bCs/>
        </w:rPr>
      </w:pPr>
      <w:r w:rsidRPr="00662CEB">
        <w:rPr>
          <w:b/>
          <w:bCs/>
        </w:rPr>
        <w:t>Sección 2: Naturaleza del Rendimiento</w:t>
      </w:r>
    </w:p>
    <w:p w14:paraId="446086CF" w14:textId="77777777" w:rsidR="00662CEB" w:rsidRPr="00662CEB" w:rsidRDefault="00662CEB" w:rsidP="00662CEB">
      <w:r w:rsidRPr="00662CEB">
        <w:lastRenderedPageBreak/>
        <w:t xml:space="preserve">A diferencia de otros ingresos financieros (como los dividendos o intereses), la ganancia de capital se deriva de la </w:t>
      </w:r>
      <w:r w:rsidRPr="00662CEB">
        <w:rPr>
          <w:b/>
          <w:bCs/>
        </w:rPr>
        <w:t>apreciación del valor de mercado</w:t>
      </w:r>
      <w:r w:rsidRPr="00662CEB">
        <w:t xml:space="preserve"> del activo. Representa la materialización de un retorno positivo sobre el capital expuesto al riesgo durante un periodo determinado.</w:t>
      </w:r>
    </w:p>
    <w:p w14:paraId="46207CA1" w14:textId="77777777" w:rsidR="00662CEB" w:rsidRPr="00662CEB" w:rsidRDefault="00662CEB" w:rsidP="00662CEB">
      <w:r w:rsidRPr="00662CEB">
        <w:pict w14:anchorId="2F102396">
          <v:rect id="_x0000_i1063" style="width:0;height:1.5pt" o:hralign="center" o:hrstd="t" o:hr="t" fillcolor="#a0a0a0" stroked="f"/>
        </w:pict>
      </w:r>
    </w:p>
    <w:p w14:paraId="675A06A0" w14:textId="77777777" w:rsidR="00662CEB" w:rsidRPr="00662CEB" w:rsidRDefault="00662CEB" w:rsidP="00662CEB">
      <w:pPr>
        <w:rPr>
          <w:b/>
          <w:bCs/>
        </w:rPr>
      </w:pPr>
      <w:r w:rsidRPr="00662CEB">
        <w:rPr>
          <w:b/>
          <w:bCs/>
        </w:rPr>
        <w:t>Conceptos Financieros Clave</w:t>
      </w:r>
    </w:p>
    <w:p w14:paraId="03BD15AD" w14:textId="77777777" w:rsidR="00662CEB" w:rsidRPr="00662CEB" w:rsidRDefault="00662CEB" w:rsidP="00662CEB">
      <w:pPr>
        <w:numPr>
          <w:ilvl w:val="0"/>
          <w:numId w:val="2"/>
        </w:numPr>
      </w:pPr>
      <w:r w:rsidRPr="00662CEB">
        <w:rPr>
          <w:b/>
          <w:bCs/>
        </w:rPr>
        <w:t>Inversión Inicial:</w:t>
      </w:r>
      <w:r w:rsidRPr="00662CEB">
        <w:t xml:space="preserve"> El monto total desembolsado para adquirir el instrumento o bien.</w:t>
      </w:r>
    </w:p>
    <w:p w14:paraId="07F53065" w14:textId="77777777" w:rsidR="00662CEB" w:rsidRPr="00662CEB" w:rsidRDefault="00662CEB" w:rsidP="00662CEB">
      <w:pPr>
        <w:numPr>
          <w:ilvl w:val="0"/>
          <w:numId w:val="2"/>
        </w:numPr>
      </w:pPr>
      <w:r w:rsidRPr="00662CEB">
        <w:rPr>
          <w:b/>
          <w:bCs/>
        </w:rPr>
        <w:t>Precio de Venta:</w:t>
      </w:r>
      <w:r w:rsidRPr="00662CEB">
        <w:t xml:space="preserve"> El valor de mercado al cual se realiza la transacción de salida.</w:t>
      </w:r>
    </w:p>
    <w:p w14:paraId="644E3C0D" w14:textId="77777777" w:rsidR="00662CEB" w:rsidRPr="00662CEB" w:rsidRDefault="00662CEB" w:rsidP="00662CEB">
      <w:pPr>
        <w:numPr>
          <w:ilvl w:val="0"/>
          <w:numId w:val="2"/>
        </w:numPr>
      </w:pPr>
      <w:r w:rsidRPr="00662CEB">
        <w:rPr>
          <w:b/>
          <w:bCs/>
        </w:rPr>
        <w:t>Plusvalía:</w:t>
      </w:r>
      <w:r w:rsidRPr="00662CEB">
        <w:t xml:space="preserve"> El aumento de valor que experimenta un activo (denominada ganancia de capital una vez que se concreta la venta).</w:t>
      </w:r>
    </w:p>
    <w:p w14:paraId="2862A2C1" w14:textId="77777777" w:rsidR="00662CEB" w:rsidRPr="00662CEB" w:rsidRDefault="00662CEB" w:rsidP="00662CEB">
      <w:r w:rsidRPr="00662CEB">
        <w:pict w14:anchorId="19320C88">
          <v:rect id="_x0000_i1064" style="width:0;height:1.5pt" o:hralign="center" o:hrstd="t" o:hr="t" fillcolor="#a0a0a0" stroked="f"/>
        </w:pict>
      </w:r>
    </w:p>
    <w:p w14:paraId="6B0A8C65" w14:textId="77777777" w:rsidR="00662CEB" w:rsidRPr="00662CEB" w:rsidRDefault="00662CEB" w:rsidP="00662CEB">
      <w:pPr>
        <w:rPr>
          <w:b/>
          <w:bCs/>
        </w:rPr>
      </w:pPr>
      <w:r w:rsidRPr="00662CEB">
        <w:rPr>
          <w:b/>
          <w:bCs/>
        </w:rPr>
        <w:t>Conclusiones / Ideas Principales</w:t>
      </w:r>
    </w:p>
    <w:p w14:paraId="0EB8E712" w14:textId="77777777" w:rsidR="00662CEB" w:rsidRPr="00662CEB" w:rsidRDefault="00662CEB" w:rsidP="00662CEB">
      <w:pPr>
        <w:numPr>
          <w:ilvl w:val="0"/>
          <w:numId w:val="3"/>
        </w:numPr>
      </w:pPr>
      <w:r w:rsidRPr="00662CEB">
        <w:t xml:space="preserve">La ganancia de capital es un </w:t>
      </w:r>
      <w:r w:rsidRPr="00662CEB">
        <w:rPr>
          <w:b/>
          <w:bCs/>
        </w:rPr>
        <w:t>resultado realizado</w:t>
      </w:r>
      <w:r w:rsidRPr="00662CEB">
        <w:t xml:space="preserve"> que se confirma únicamente al momento de la venta.</w:t>
      </w:r>
    </w:p>
    <w:p w14:paraId="66855210" w14:textId="77777777" w:rsidR="00662CEB" w:rsidRPr="00662CEB" w:rsidRDefault="00662CEB" w:rsidP="00662CEB">
      <w:pPr>
        <w:numPr>
          <w:ilvl w:val="0"/>
          <w:numId w:val="3"/>
        </w:numPr>
      </w:pPr>
      <w:r w:rsidRPr="00662CEB">
        <w:t>Indica un desempeño exitoso en la selección de activos o en el tiempo de entrada y salida del mercado.</w:t>
      </w:r>
    </w:p>
    <w:p w14:paraId="23AA1651" w14:textId="77777777" w:rsidR="00662CEB" w:rsidRPr="00662CEB" w:rsidRDefault="00662CEB" w:rsidP="00662CEB">
      <w:pPr>
        <w:numPr>
          <w:ilvl w:val="0"/>
          <w:numId w:val="3"/>
        </w:numPr>
      </w:pPr>
      <w:r w:rsidRPr="00662CEB">
        <w:t xml:space="preserve">Es el opuesto funcional de la pérdida de capital, la cual ocurre cuando el valor de venta es inferior </w:t>
      </w:r>
      <w:proofErr w:type="gramStart"/>
      <w:r w:rsidRPr="00662CEB">
        <w:t>al inicial</w:t>
      </w:r>
      <w:proofErr w:type="gramEnd"/>
      <w:r w:rsidRPr="00662CEB">
        <w:t>.</w:t>
      </w:r>
    </w:p>
    <w:p w14:paraId="4F26E77C" w14:textId="77777777" w:rsidR="00662CEB" w:rsidRPr="00662CEB" w:rsidRDefault="00662CEB" w:rsidP="00662CEB">
      <w:r w:rsidRPr="00662CEB">
        <w:pict w14:anchorId="30178B7C">
          <v:rect id="_x0000_i1065" style="width:0;height:1.5pt" o:hralign="center" o:hrstd="t" o:hr="t" fillcolor="#a0a0a0" stroked="f"/>
        </w:pict>
      </w:r>
    </w:p>
    <w:p w14:paraId="228B5385" w14:textId="77777777" w:rsidR="00662CEB" w:rsidRPr="00662CEB" w:rsidRDefault="00662CEB" w:rsidP="00662CEB">
      <w:pPr>
        <w:rPr>
          <w:b/>
          <w:bCs/>
        </w:rPr>
      </w:pPr>
      <w:r w:rsidRPr="00662CEB">
        <w:rPr>
          <w:b/>
          <w:bCs/>
        </w:rPr>
        <w:t>Supuestos, Riesgos o Consideraciones Relevantes</w:t>
      </w:r>
    </w:p>
    <w:p w14:paraId="560FD621" w14:textId="77777777" w:rsidR="00662CEB" w:rsidRPr="00662CEB" w:rsidRDefault="00662CEB" w:rsidP="00662CEB">
      <w:pPr>
        <w:numPr>
          <w:ilvl w:val="0"/>
          <w:numId w:val="4"/>
        </w:numPr>
      </w:pPr>
      <w:r w:rsidRPr="00662CEB">
        <w:rPr>
          <w:b/>
          <w:bCs/>
        </w:rPr>
        <w:t>Riesgo de Mercado:</w:t>
      </w:r>
      <w:r w:rsidRPr="00662CEB">
        <w:t xml:space="preserve"> La obtención de una ganancia depende de que el precio del activo se mueva favorablemente respecto al punto de entrada.</w:t>
      </w:r>
    </w:p>
    <w:p w14:paraId="38968E66" w14:textId="77777777" w:rsidR="00662CEB" w:rsidRPr="00662CEB" w:rsidRDefault="00662CEB" w:rsidP="00662CEB">
      <w:pPr>
        <w:numPr>
          <w:ilvl w:val="0"/>
          <w:numId w:val="4"/>
        </w:numPr>
      </w:pPr>
      <w:r w:rsidRPr="00662CEB">
        <w:rPr>
          <w:b/>
          <w:bCs/>
        </w:rPr>
        <w:t>Liquidación:</w:t>
      </w:r>
      <w:r w:rsidRPr="00662CEB">
        <w:t xml:space="preserve"> La definición asume que existe un mercado líquido donde se puede obtener efectivamente un precio de venta superior </w:t>
      </w:r>
      <w:proofErr w:type="gramStart"/>
      <w:r w:rsidRPr="00662CEB">
        <w:t>al inicial</w:t>
      </w:r>
      <w:proofErr w:type="gramEnd"/>
      <w:r w:rsidRPr="00662CEB">
        <w:t>.</w:t>
      </w:r>
    </w:p>
    <w:p w14:paraId="02E1B3CD" w14:textId="77777777" w:rsidR="00662CEB" w:rsidRPr="00662CEB" w:rsidRDefault="00662CEB" w:rsidP="00662CEB">
      <w:r w:rsidRPr="00662CEB">
        <w:pict w14:anchorId="124ED1DE">
          <v:rect id="_x0000_i1066" style="width:0;height:1.5pt" o:hralign="center" o:hrstd="t" o:hr="t" fillcolor="#a0a0a0" stroked="f"/>
        </w:pict>
      </w:r>
    </w:p>
    <w:p w14:paraId="27BB83A9" w14:textId="77777777" w:rsidR="00662CEB" w:rsidRPr="00662CEB" w:rsidRDefault="00662CEB" w:rsidP="00662CEB">
      <w:pPr>
        <w:rPr>
          <w:b/>
          <w:bCs/>
        </w:rPr>
      </w:pPr>
      <w:proofErr w:type="gramStart"/>
      <w:r w:rsidRPr="00662CEB">
        <w:rPr>
          <w:b/>
          <w:bCs/>
        </w:rPr>
        <w:t>Puntos a Aclarar</w:t>
      </w:r>
      <w:proofErr w:type="gramEnd"/>
      <w:r w:rsidRPr="00662CEB">
        <w:rPr>
          <w:b/>
          <w:bCs/>
        </w:rPr>
        <w:t xml:space="preserve"> o Información Faltante</w:t>
      </w:r>
    </w:p>
    <w:p w14:paraId="5FB6A91C" w14:textId="77777777" w:rsidR="00662CEB" w:rsidRPr="00662CEB" w:rsidRDefault="00662CEB" w:rsidP="00662CEB">
      <w:pPr>
        <w:numPr>
          <w:ilvl w:val="0"/>
          <w:numId w:val="5"/>
        </w:numPr>
      </w:pPr>
      <w:r w:rsidRPr="00662CEB">
        <w:rPr>
          <w:b/>
          <w:bCs/>
        </w:rPr>
        <w:lastRenderedPageBreak/>
        <w:t>Costos de Transacción:</w:t>
      </w:r>
      <w:r w:rsidRPr="00662CEB">
        <w:t xml:space="preserve"> El texto no especifica si para el cálculo de la ganancia neta se deben deducir las comisiones de intermediación, impuestos o gastos de corretaje.</w:t>
      </w:r>
    </w:p>
    <w:p w14:paraId="7D828949" w14:textId="77777777" w:rsidR="00662CEB" w:rsidRPr="00662CEB" w:rsidRDefault="00662CEB" w:rsidP="00662CEB">
      <w:pPr>
        <w:numPr>
          <w:ilvl w:val="0"/>
          <w:numId w:val="5"/>
        </w:numPr>
      </w:pPr>
      <w:r w:rsidRPr="00662CEB">
        <w:rPr>
          <w:b/>
          <w:bCs/>
        </w:rPr>
        <w:t>Ganancia Realizada vs. No Realizada:</w:t>
      </w:r>
      <w:r w:rsidRPr="00662CEB">
        <w:t xml:space="preserve"> No se hace distinción entre la ganancia "en papel" (cuando el precio del activo </w:t>
      </w:r>
      <w:proofErr w:type="gramStart"/>
      <w:r w:rsidRPr="00662CEB">
        <w:t>sube</w:t>
      </w:r>
      <w:proofErr w:type="gramEnd"/>
      <w:r w:rsidRPr="00662CEB">
        <w:t xml:space="preserve"> pero aún no se vende) y la ganancia efectiva tras el cierre de la posición.</w:t>
      </w:r>
    </w:p>
    <w:p w14:paraId="13D9A7DD" w14:textId="77777777" w:rsidR="00662CEB" w:rsidRPr="00662CEB" w:rsidRDefault="00662CEB" w:rsidP="00662CEB">
      <w:pPr>
        <w:numPr>
          <w:ilvl w:val="0"/>
          <w:numId w:val="5"/>
        </w:numPr>
      </w:pPr>
      <w:r w:rsidRPr="00662CEB">
        <w:rPr>
          <w:b/>
          <w:bCs/>
        </w:rPr>
        <w:t>Efecto de la Inflación:</w:t>
      </w:r>
      <w:r w:rsidRPr="00662CEB">
        <w:t xml:space="preserve"> No se menciona si el cálculo considera el valor nominal o si existe un ajuste por el poder adquisitivo del dinero en el tiempo (ganancia real vs. ganancia nominal).</w:t>
      </w:r>
    </w:p>
    <w:p w14:paraId="7963F938"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2168"/>
    <w:multiLevelType w:val="multilevel"/>
    <w:tmpl w:val="7C1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48FA"/>
    <w:multiLevelType w:val="multilevel"/>
    <w:tmpl w:val="BEC6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24A08"/>
    <w:multiLevelType w:val="multilevel"/>
    <w:tmpl w:val="B11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55732"/>
    <w:multiLevelType w:val="multilevel"/>
    <w:tmpl w:val="CA8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E3761"/>
    <w:multiLevelType w:val="multilevel"/>
    <w:tmpl w:val="A3C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256978">
    <w:abstractNumId w:val="1"/>
  </w:num>
  <w:num w:numId="2" w16cid:durableId="1749494034">
    <w:abstractNumId w:val="4"/>
  </w:num>
  <w:num w:numId="3" w16cid:durableId="183787055">
    <w:abstractNumId w:val="3"/>
  </w:num>
  <w:num w:numId="4" w16cid:durableId="1384910125">
    <w:abstractNumId w:val="0"/>
  </w:num>
  <w:num w:numId="5" w16cid:durableId="1411930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71"/>
    <w:rsid w:val="00071C90"/>
    <w:rsid w:val="000D1EDE"/>
    <w:rsid w:val="00320D26"/>
    <w:rsid w:val="00414AB1"/>
    <w:rsid w:val="005C0371"/>
    <w:rsid w:val="006473F9"/>
    <w:rsid w:val="00662CEB"/>
    <w:rsid w:val="00736F93"/>
    <w:rsid w:val="008268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7188"/>
  <w15:chartTrackingRefBased/>
  <w15:docId w15:val="{E5262A71-A038-4F47-9294-3A5C6E26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0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0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0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0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0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0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03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3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03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03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03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03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03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03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03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0371"/>
    <w:rPr>
      <w:rFonts w:eastAsiaTheme="majorEastAsia" w:cstheme="majorBidi"/>
      <w:color w:val="272727" w:themeColor="text1" w:themeTint="D8"/>
    </w:rPr>
  </w:style>
  <w:style w:type="paragraph" w:styleId="Ttulo">
    <w:name w:val="Title"/>
    <w:basedOn w:val="Normal"/>
    <w:next w:val="Normal"/>
    <w:link w:val="TtuloCar"/>
    <w:uiPriority w:val="10"/>
    <w:qFormat/>
    <w:rsid w:val="005C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0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03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03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0371"/>
    <w:pPr>
      <w:spacing w:before="160"/>
      <w:jc w:val="center"/>
    </w:pPr>
    <w:rPr>
      <w:i/>
      <w:iCs/>
      <w:color w:val="404040" w:themeColor="text1" w:themeTint="BF"/>
    </w:rPr>
  </w:style>
  <w:style w:type="character" w:customStyle="1" w:styleId="CitaCar">
    <w:name w:val="Cita Car"/>
    <w:basedOn w:val="Fuentedeprrafopredeter"/>
    <w:link w:val="Cita"/>
    <w:uiPriority w:val="29"/>
    <w:rsid w:val="005C0371"/>
    <w:rPr>
      <w:i/>
      <w:iCs/>
      <w:color w:val="404040" w:themeColor="text1" w:themeTint="BF"/>
    </w:rPr>
  </w:style>
  <w:style w:type="paragraph" w:styleId="Prrafodelista">
    <w:name w:val="List Paragraph"/>
    <w:basedOn w:val="Normal"/>
    <w:uiPriority w:val="34"/>
    <w:qFormat/>
    <w:rsid w:val="005C0371"/>
    <w:pPr>
      <w:ind w:left="720"/>
      <w:contextualSpacing/>
    </w:pPr>
  </w:style>
  <w:style w:type="character" w:styleId="nfasisintenso">
    <w:name w:val="Intense Emphasis"/>
    <w:basedOn w:val="Fuentedeprrafopredeter"/>
    <w:uiPriority w:val="21"/>
    <w:qFormat/>
    <w:rsid w:val="005C0371"/>
    <w:rPr>
      <w:i/>
      <w:iCs/>
      <w:color w:val="0F4761" w:themeColor="accent1" w:themeShade="BF"/>
    </w:rPr>
  </w:style>
  <w:style w:type="paragraph" w:styleId="Citadestacada">
    <w:name w:val="Intense Quote"/>
    <w:basedOn w:val="Normal"/>
    <w:next w:val="Normal"/>
    <w:link w:val="CitadestacadaCar"/>
    <w:uiPriority w:val="30"/>
    <w:qFormat/>
    <w:rsid w:val="005C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0371"/>
    <w:rPr>
      <w:i/>
      <w:iCs/>
      <w:color w:val="0F4761" w:themeColor="accent1" w:themeShade="BF"/>
    </w:rPr>
  </w:style>
  <w:style w:type="character" w:styleId="Referenciaintensa">
    <w:name w:val="Intense Reference"/>
    <w:basedOn w:val="Fuentedeprrafopredeter"/>
    <w:uiPriority w:val="32"/>
    <w:qFormat/>
    <w:rsid w:val="005C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2026-05-06T23:05:00Z</dcterms:created>
  <dcterms:modified xsi:type="dcterms:W3CDTF">2026-05-06T23:06:00Z</dcterms:modified>
</cp:coreProperties>
</file>