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2003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Análisis Técnico de Instrumentos de Inversión de Deuda a Largo Plazo</w:t>
      </w:r>
    </w:p>
    <w:p w14:paraId="2CD1F46C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Resumen Ejecutivo</w:t>
      </w:r>
    </w:p>
    <w:p w14:paraId="0D9AAB34" w14:textId="77777777" w:rsidR="00FF442D" w:rsidRPr="00FF442D" w:rsidRDefault="00FF442D" w:rsidP="00FF442D">
      <w:r w:rsidRPr="00FF442D">
        <w:t xml:space="preserve">Los instrumentos de deuda representan una categoría de activos financieros de </w:t>
      </w:r>
      <w:r w:rsidRPr="00FF442D">
        <w:rPr>
          <w:b/>
          <w:bCs/>
        </w:rPr>
        <w:t>renta fija</w:t>
      </w:r>
      <w:r w:rsidRPr="00FF442D">
        <w:t xml:space="preserve"> emitidos por diversas entidades para captar financiamiento. Su característica principal es que ofrecen una rentabilidad predeterminada y conocida, siempre que el inversionista mantenga el título hasta su fecha de maduración. Este grupo incluye valores emitidos por instituciones bancarias, la Tesorería General y el Banco Central, con horizontes de inversión superiores a un año.</w:t>
      </w:r>
    </w:p>
    <w:p w14:paraId="01A6A6D0" w14:textId="77777777" w:rsidR="00FF442D" w:rsidRPr="00FF442D" w:rsidRDefault="00FF442D" w:rsidP="00FF442D">
      <w:r w:rsidRPr="00FF442D">
        <w:pict w14:anchorId="5271F847">
          <v:rect id="_x0000_i1061" style="width:0;height:1.5pt" o:hralign="center" o:hrstd="t" o:hr="t" fillcolor="#a0a0a0" stroked="f"/>
        </w:pict>
      </w:r>
    </w:p>
    <w:p w14:paraId="715A2086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Contexto y Propósito del Documento</w:t>
      </w:r>
    </w:p>
    <w:p w14:paraId="299E9FE8" w14:textId="77777777" w:rsidR="00FF442D" w:rsidRPr="00FF442D" w:rsidRDefault="00FF442D" w:rsidP="00FF442D">
      <w:r w:rsidRPr="00FF442D">
        <w:t xml:space="preserve">El presente documento tiene como objetivo clasificar y definir los instrumentos de deuda de mediano y largo plazo. Estas herramientas son fundamentales para la estructuración de portafolios que buscan </w:t>
      </w:r>
      <w:r w:rsidRPr="00FF442D">
        <w:rPr>
          <w:b/>
          <w:bCs/>
        </w:rPr>
        <w:t>previsibilidad en los flujos de retorno</w:t>
      </w:r>
      <w:r w:rsidRPr="00FF442D">
        <w:t xml:space="preserve"> y una gestión de riesgo conservadora, sirviendo como el pilar de renta fija en el mercado de capitales.</w:t>
      </w:r>
    </w:p>
    <w:p w14:paraId="45694399" w14:textId="77777777" w:rsidR="00FF442D" w:rsidRPr="00FF442D" w:rsidRDefault="00FF442D" w:rsidP="00FF442D">
      <w:r w:rsidRPr="00FF442D">
        <w:pict w14:anchorId="794E95EE">
          <v:rect id="_x0000_i1062" style="width:0;height:1.5pt" o:hralign="center" o:hrstd="t" o:hr="t" fillcolor="#a0a0a0" stroked="f"/>
        </w:pict>
      </w:r>
    </w:p>
    <w:p w14:paraId="725326E3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Desarrollo del Contenido</w:t>
      </w:r>
    </w:p>
    <w:p w14:paraId="7B07B84A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Sección 1: Taxonomía de los Instrumentos de Deuda</w:t>
      </w:r>
    </w:p>
    <w:p w14:paraId="7235E963" w14:textId="77777777" w:rsidR="00FF442D" w:rsidRPr="00FF442D" w:rsidRDefault="00FF442D" w:rsidP="00FF442D">
      <w:r w:rsidRPr="00FF442D">
        <w:t>Los instrumentos de deuda se agrupan según el tipo de emisor y la naturaleza del respaldo financiero:</w:t>
      </w:r>
    </w:p>
    <w:p w14:paraId="19477A92" w14:textId="77777777" w:rsidR="00FF442D" w:rsidRPr="00FF442D" w:rsidRDefault="00FF442D" w:rsidP="00FF442D">
      <w:pPr>
        <w:numPr>
          <w:ilvl w:val="0"/>
          <w:numId w:val="1"/>
        </w:numPr>
      </w:pPr>
      <w:r w:rsidRPr="00FF442D">
        <w:rPr>
          <w:b/>
          <w:bCs/>
        </w:rPr>
        <w:t>Valores de Instituciones Financieras:</w:t>
      </w:r>
    </w:p>
    <w:p w14:paraId="6635F367" w14:textId="77777777" w:rsidR="00FF442D" w:rsidRPr="00FF442D" w:rsidRDefault="00FF442D" w:rsidP="00FF442D">
      <w:pPr>
        <w:numPr>
          <w:ilvl w:val="1"/>
          <w:numId w:val="1"/>
        </w:numPr>
      </w:pPr>
      <w:r w:rsidRPr="00FF442D">
        <w:rPr>
          <w:b/>
          <w:bCs/>
        </w:rPr>
        <w:t>Letras Hipotecarias:</w:t>
      </w:r>
      <w:r w:rsidRPr="00FF442D">
        <w:t xml:space="preserve"> Títulos emitidos para financiar la adquisición de bienes raíces.</w:t>
      </w:r>
    </w:p>
    <w:p w14:paraId="3EC79162" w14:textId="77777777" w:rsidR="00FF442D" w:rsidRPr="00FF442D" w:rsidRDefault="00FF442D" w:rsidP="00FF442D">
      <w:pPr>
        <w:numPr>
          <w:ilvl w:val="1"/>
          <w:numId w:val="1"/>
        </w:numPr>
      </w:pPr>
      <w:r w:rsidRPr="00FF442D">
        <w:rPr>
          <w:b/>
          <w:bCs/>
        </w:rPr>
        <w:t>Pagarés Bancarios:</w:t>
      </w:r>
      <w:r w:rsidRPr="00FF442D">
        <w:t xml:space="preserve"> Instrumentos de deuda emitidos por bancos para captar recursos del público.</w:t>
      </w:r>
    </w:p>
    <w:p w14:paraId="092123B6" w14:textId="77777777" w:rsidR="00FF442D" w:rsidRPr="00FF442D" w:rsidRDefault="00FF442D" w:rsidP="00FF442D">
      <w:pPr>
        <w:numPr>
          <w:ilvl w:val="0"/>
          <w:numId w:val="1"/>
        </w:numPr>
      </w:pPr>
      <w:r w:rsidRPr="00FF442D">
        <w:rPr>
          <w:b/>
          <w:bCs/>
        </w:rPr>
        <w:t>Valores de Gobierno y Entidades Estatales:</w:t>
      </w:r>
    </w:p>
    <w:p w14:paraId="5763BF0E" w14:textId="77777777" w:rsidR="00FF442D" w:rsidRPr="00FF442D" w:rsidRDefault="00FF442D" w:rsidP="00FF442D">
      <w:pPr>
        <w:numPr>
          <w:ilvl w:val="1"/>
          <w:numId w:val="1"/>
        </w:numPr>
      </w:pPr>
      <w:r w:rsidRPr="00FF442D">
        <w:rPr>
          <w:b/>
          <w:bCs/>
        </w:rPr>
        <w:t>Pagarés de Tesorería:</w:t>
      </w:r>
      <w:r w:rsidRPr="00FF442D">
        <w:t xml:space="preserve"> Títulos de deuda emitidos para financiar el gasto público o gestionar la caja del Estado.</w:t>
      </w:r>
    </w:p>
    <w:p w14:paraId="28A54FEF" w14:textId="77777777" w:rsidR="00FF442D" w:rsidRPr="00FF442D" w:rsidRDefault="00FF442D" w:rsidP="00FF442D">
      <w:pPr>
        <w:numPr>
          <w:ilvl w:val="1"/>
          <w:numId w:val="1"/>
        </w:numPr>
      </w:pPr>
      <w:r w:rsidRPr="00FF442D">
        <w:rPr>
          <w:b/>
          <w:bCs/>
        </w:rPr>
        <w:t>Bonos:</w:t>
      </w:r>
      <w:r w:rsidRPr="00FF442D">
        <w:t xml:space="preserve"> Instrumentos representativos de una deuda a mediano o largo plazo.</w:t>
      </w:r>
    </w:p>
    <w:p w14:paraId="68F8411D" w14:textId="77777777" w:rsidR="00FF442D" w:rsidRPr="00FF442D" w:rsidRDefault="00FF442D" w:rsidP="00FF442D">
      <w:pPr>
        <w:numPr>
          <w:ilvl w:val="0"/>
          <w:numId w:val="1"/>
        </w:numPr>
      </w:pPr>
      <w:r w:rsidRPr="00FF442D">
        <w:rPr>
          <w:b/>
          <w:bCs/>
        </w:rPr>
        <w:lastRenderedPageBreak/>
        <w:t>Valores de Regulación Monetaria:</w:t>
      </w:r>
    </w:p>
    <w:p w14:paraId="16E6E5B5" w14:textId="77777777" w:rsidR="00FF442D" w:rsidRPr="00FF442D" w:rsidRDefault="00FF442D" w:rsidP="00FF442D">
      <w:pPr>
        <w:numPr>
          <w:ilvl w:val="1"/>
          <w:numId w:val="1"/>
        </w:numPr>
      </w:pPr>
      <w:r w:rsidRPr="00FF442D">
        <w:rPr>
          <w:b/>
          <w:bCs/>
        </w:rPr>
        <w:t>Instrumentos del Banco Central:</w:t>
      </w:r>
      <w:r w:rsidRPr="00FF442D">
        <w:t xml:space="preserve"> Incluye pagarés e instrumentos reajustables diseñados para la gestión de la política monetaria.</w:t>
      </w:r>
    </w:p>
    <w:p w14:paraId="33070102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Sección 2: Dinámica de Rentabilidad y Plazos</w:t>
      </w:r>
    </w:p>
    <w:p w14:paraId="2EBE82AB" w14:textId="77777777" w:rsidR="00FF442D" w:rsidRPr="00FF442D" w:rsidRDefault="00FF442D" w:rsidP="00FF442D">
      <w:r w:rsidRPr="00FF442D">
        <w:t>La operatividad de estos activos se basa en dos pilares temporales y financieros:</w:t>
      </w:r>
    </w:p>
    <w:p w14:paraId="5DA7A4E6" w14:textId="77777777" w:rsidR="00FF442D" w:rsidRPr="00FF442D" w:rsidRDefault="00FF442D" w:rsidP="00FF442D">
      <w:pPr>
        <w:numPr>
          <w:ilvl w:val="0"/>
          <w:numId w:val="2"/>
        </w:numPr>
      </w:pPr>
      <w:r w:rsidRPr="00FF442D">
        <w:rPr>
          <w:b/>
          <w:bCs/>
        </w:rPr>
        <w:t>Horizonte de Inversión:</w:t>
      </w:r>
      <w:r w:rsidRPr="00FF442D">
        <w:t xml:space="preserve"> Para ser clasificados en este grupo, los instrumentos deben tener un plazo de vencimiento o reajustabilidad </w:t>
      </w:r>
      <w:r w:rsidRPr="00FF442D">
        <w:rPr>
          <w:b/>
          <w:bCs/>
        </w:rPr>
        <w:t>superior a un año</w:t>
      </w:r>
      <w:r w:rsidRPr="00FF442D">
        <w:t>.</w:t>
      </w:r>
    </w:p>
    <w:p w14:paraId="036DF00A" w14:textId="77777777" w:rsidR="00FF442D" w:rsidRPr="00FF442D" w:rsidRDefault="00FF442D" w:rsidP="00FF442D">
      <w:pPr>
        <w:numPr>
          <w:ilvl w:val="0"/>
          <w:numId w:val="2"/>
        </w:numPr>
      </w:pPr>
      <w:r w:rsidRPr="00FF442D">
        <w:rPr>
          <w:b/>
          <w:bCs/>
        </w:rPr>
        <w:t>Rentabilidad Conocida:</w:t>
      </w:r>
      <w:r w:rsidRPr="00FF442D">
        <w:t xml:space="preserve"> La tasa de interés o retorno se pacta al inicio. No obstante, esta rentabilidad es "fija y conocida" exclusivamente bajo el supuesto de que el inversionista no liquide el activo en el mercado secundario antes de su vencimiento.</w:t>
      </w:r>
    </w:p>
    <w:p w14:paraId="2B9E5300" w14:textId="77777777" w:rsidR="00FF442D" w:rsidRPr="00FF442D" w:rsidRDefault="00FF442D" w:rsidP="00FF442D">
      <w:r w:rsidRPr="00FF442D">
        <w:pict w14:anchorId="56DAB901">
          <v:rect id="_x0000_i1063" style="width:0;height:1.5pt" o:hralign="center" o:hrstd="t" o:hr="t" fillcolor="#a0a0a0" stroked="f"/>
        </w:pict>
      </w:r>
    </w:p>
    <w:p w14:paraId="73E2F6A5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Conceptos Financieros Clave</w:t>
      </w:r>
    </w:p>
    <w:p w14:paraId="651D1B5D" w14:textId="77777777" w:rsidR="00FF442D" w:rsidRPr="00FF442D" w:rsidRDefault="00FF442D" w:rsidP="00FF442D">
      <w:pPr>
        <w:numPr>
          <w:ilvl w:val="0"/>
          <w:numId w:val="3"/>
        </w:numPr>
      </w:pPr>
      <w:r w:rsidRPr="00FF442D">
        <w:rPr>
          <w:b/>
          <w:bCs/>
        </w:rPr>
        <w:t>Rentabilidad Fija:</w:t>
      </w:r>
      <w:r w:rsidRPr="00FF442D">
        <w:t xml:space="preserve"> Capacidad de un instrumento de generar un rendimiento cuyo monto o tasa se establece contractualmente desde el origen.</w:t>
      </w:r>
    </w:p>
    <w:p w14:paraId="28AFAFB4" w14:textId="77777777" w:rsidR="00FF442D" w:rsidRPr="00FF442D" w:rsidRDefault="00FF442D" w:rsidP="00FF442D">
      <w:pPr>
        <w:numPr>
          <w:ilvl w:val="0"/>
          <w:numId w:val="3"/>
        </w:numPr>
      </w:pPr>
      <w:r w:rsidRPr="00FF442D">
        <w:rPr>
          <w:b/>
          <w:bCs/>
        </w:rPr>
        <w:t>Vencimiento:</w:t>
      </w:r>
      <w:r w:rsidRPr="00FF442D">
        <w:t xml:space="preserve"> Fecha límite estipulada en el contrato del instrumento en la cual el emisor debe restituir el capital principal más los intereses al inversionista.</w:t>
      </w:r>
    </w:p>
    <w:p w14:paraId="76F45BF6" w14:textId="77777777" w:rsidR="00FF442D" w:rsidRPr="00FF442D" w:rsidRDefault="00FF442D" w:rsidP="00FF442D">
      <w:pPr>
        <w:numPr>
          <w:ilvl w:val="0"/>
          <w:numId w:val="3"/>
        </w:numPr>
      </w:pPr>
      <w:r w:rsidRPr="00FF442D">
        <w:rPr>
          <w:b/>
          <w:bCs/>
        </w:rPr>
        <w:t>Instrumentos Reajustables:</w:t>
      </w:r>
      <w:r w:rsidRPr="00FF442D">
        <w:t xml:space="preserve"> Títulos que incorporan mecanismos para proteger el capital contra variaciones (como la inflación), manteniendo el valor real de la inversión.</w:t>
      </w:r>
    </w:p>
    <w:p w14:paraId="1778E8D3" w14:textId="77777777" w:rsidR="00FF442D" w:rsidRPr="00FF442D" w:rsidRDefault="00FF442D" w:rsidP="00FF442D">
      <w:r w:rsidRPr="00FF442D">
        <w:pict w14:anchorId="1FF84AC9">
          <v:rect id="_x0000_i1064" style="width:0;height:1.5pt" o:hralign="center" o:hrstd="t" o:hr="t" fillcolor="#a0a0a0" stroked="f"/>
        </w:pict>
      </w:r>
    </w:p>
    <w:p w14:paraId="1488B541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Conclusiones / Ideas Principales</w:t>
      </w:r>
    </w:p>
    <w:p w14:paraId="5B9E46D8" w14:textId="77777777" w:rsidR="00FF442D" w:rsidRPr="00FF442D" w:rsidRDefault="00FF442D" w:rsidP="00FF442D">
      <w:pPr>
        <w:numPr>
          <w:ilvl w:val="0"/>
          <w:numId w:val="4"/>
        </w:numPr>
      </w:pPr>
      <w:r w:rsidRPr="00FF442D">
        <w:t xml:space="preserve">Los instrumentos de deuda son vehículos de </w:t>
      </w:r>
      <w:r w:rsidRPr="00FF442D">
        <w:rPr>
          <w:b/>
          <w:bCs/>
        </w:rPr>
        <w:t>baja incertidumbre</w:t>
      </w:r>
      <w:r w:rsidRPr="00FF442D">
        <w:t xml:space="preserve"> en comparación con los instrumentos de capitalización.</w:t>
      </w:r>
    </w:p>
    <w:p w14:paraId="6210AA34" w14:textId="77777777" w:rsidR="00FF442D" w:rsidRPr="00FF442D" w:rsidRDefault="00FF442D" w:rsidP="00FF442D">
      <w:pPr>
        <w:numPr>
          <w:ilvl w:val="0"/>
          <w:numId w:val="4"/>
        </w:numPr>
      </w:pPr>
      <w:r w:rsidRPr="00FF442D">
        <w:t xml:space="preserve">La garantía de la rentabilidad pactada depende directamente del </w:t>
      </w:r>
      <w:r w:rsidRPr="00FF442D">
        <w:rPr>
          <w:b/>
          <w:bCs/>
        </w:rPr>
        <w:t>compromiso de permanencia</w:t>
      </w:r>
      <w:r w:rsidRPr="00FF442D">
        <w:t xml:space="preserve"> del inversionista hasta el vencimiento.</w:t>
      </w:r>
    </w:p>
    <w:p w14:paraId="345E6FA6" w14:textId="77777777" w:rsidR="00FF442D" w:rsidRPr="00FF442D" w:rsidRDefault="00FF442D" w:rsidP="00FF442D">
      <w:pPr>
        <w:numPr>
          <w:ilvl w:val="0"/>
          <w:numId w:val="4"/>
        </w:numPr>
      </w:pPr>
      <w:r w:rsidRPr="00FF442D">
        <w:t>Permiten a los emisores captar recursos a plazos extendidos (mayor a un año) para financiar proyectos o políticas de largo alcance.</w:t>
      </w:r>
    </w:p>
    <w:p w14:paraId="25EDF638" w14:textId="77777777" w:rsidR="00FF442D" w:rsidRPr="00FF442D" w:rsidRDefault="00FF442D" w:rsidP="00FF442D">
      <w:r w:rsidRPr="00FF442D">
        <w:pict w14:anchorId="1359B852">
          <v:rect id="_x0000_i1065" style="width:0;height:1.5pt" o:hralign="center" o:hrstd="t" o:hr="t" fillcolor="#a0a0a0" stroked="f"/>
        </w:pict>
      </w:r>
    </w:p>
    <w:p w14:paraId="350B7DB0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Supuestos, Riesgos o Consideraciones Relevantes</w:t>
      </w:r>
    </w:p>
    <w:p w14:paraId="14E19D62" w14:textId="77777777" w:rsidR="00FF442D" w:rsidRPr="00FF442D" w:rsidRDefault="00FF442D" w:rsidP="00FF442D">
      <w:pPr>
        <w:numPr>
          <w:ilvl w:val="0"/>
          <w:numId w:val="5"/>
        </w:numPr>
      </w:pPr>
      <w:r w:rsidRPr="00FF442D">
        <w:rPr>
          <w:b/>
          <w:bCs/>
        </w:rPr>
        <w:lastRenderedPageBreak/>
        <w:t>Riesgo de Liquidación Anticipada:</w:t>
      </w:r>
      <w:r w:rsidRPr="00FF442D">
        <w:t xml:space="preserve"> Si un inversionista vende el instrumento antes del vencimiento, la rentabilidad obtenida dependerá de las condiciones de mercado del momento, pudiendo diferir de la rentabilidad conocida originalmente.</w:t>
      </w:r>
    </w:p>
    <w:p w14:paraId="2E5F8747" w14:textId="77777777" w:rsidR="00FF442D" w:rsidRPr="00FF442D" w:rsidRDefault="00FF442D" w:rsidP="00FF442D">
      <w:pPr>
        <w:numPr>
          <w:ilvl w:val="0"/>
          <w:numId w:val="5"/>
        </w:numPr>
      </w:pPr>
      <w:r w:rsidRPr="00FF442D">
        <w:rPr>
          <w:b/>
          <w:bCs/>
        </w:rPr>
        <w:t>Riesgo de Emisor (Crédito):</w:t>
      </w:r>
      <w:r w:rsidRPr="00FF442D">
        <w:t xml:space="preserve"> La certeza del pago de la rentabilidad y la devolución del capital está supeditada a la solvencia de la entidad emisora (Banco, Tesorería o Banco Central).</w:t>
      </w:r>
    </w:p>
    <w:p w14:paraId="21D57DFF" w14:textId="77777777" w:rsidR="00FF442D" w:rsidRPr="00FF442D" w:rsidRDefault="00FF442D" w:rsidP="00FF442D">
      <w:pPr>
        <w:numPr>
          <w:ilvl w:val="0"/>
          <w:numId w:val="5"/>
        </w:numPr>
      </w:pPr>
      <w:r w:rsidRPr="00FF442D">
        <w:rPr>
          <w:b/>
          <w:bCs/>
        </w:rPr>
        <w:t>Riesgo de Inflación:</w:t>
      </w:r>
      <w:r w:rsidRPr="00FF442D">
        <w:t xml:space="preserve"> En instrumentos no reajustables, existe el riesgo de que la rentabilidad real sea menor si la inflación supera la tasa pactada.</w:t>
      </w:r>
    </w:p>
    <w:p w14:paraId="164F52E4" w14:textId="77777777" w:rsidR="00FF442D" w:rsidRPr="00FF442D" w:rsidRDefault="00FF442D" w:rsidP="00FF442D">
      <w:r w:rsidRPr="00FF442D">
        <w:pict w14:anchorId="7400D736">
          <v:rect id="_x0000_i1066" style="width:0;height:1.5pt" o:hralign="center" o:hrstd="t" o:hr="t" fillcolor="#a0a0a0" stroked="f"/>
        </w:pict>
      </w:r>
    </w:p>
    <w:p w14:paraId="7C2BB197" w14:textId="77777777" w:rsidR="00FF442D" w:rsidRPr="00FF442D" w:rsidRDefault="00FF442D" w:rsidP="00FF442D">
      <w:pPr>
        <w:rPr>
          <w:b/>
          <w:bCs/>
        </w:rPr>
      </w:pPr>
      <w:r w:rsidRPr="00FF442D">
        <w:rPr>
          <w:b/>
          <w:bCs/>
        </w:rPr>
        <w:t>Puntos a Aclarar o Información Faltante</w:t>
      </w:r>
    </w:p>
    <w:p w14:paraId="3348F9F9" w14:textId="77777777" w:rsidR="00FF442D" w:rsidRPr="00FF442D" w:rsidRDefault="00FF442D" w:rsidP="00FF442D">
      <w:pPr>
        <w:numPr>
          <w:ilvl w:val="0"/>
          <w:numId w:val="6"/>
        </w:numPr>
      </w:pPr>
      <w:r w:rsidRPr="00FF442D">
        <w:rPr>
          <w:b/>
          <w:bCs/>
        </w:rPr>
        <w:t>Frecuencia de Pagos:</w:t>
      </w:r>
      <w:r w:rsidRPr="00FF442D">
        <w:t xml:space="preserve"> No se especifica si estos instrumentos pagan intereses mediante cupones periódicos o si son "cero cupón" (pago único al final).</w:t>
      </w:r>
    </w:p>
    <w:p w14:paraId="11AA92B6" w14:textId="77777777" w:rsidR="00FF442D" w:rsidRPr="00FF442D" w:rsidRDefault="00FF442D" w:rsidP="00FF442D">
      <w:pPr>
        <w:numPr>
          <w:ilvl w:val="0"/>
          <w:numId w:val="6"/>
        </w:numPr>
      </w:pPr>
      <w:r w:rsidRPr="00FF442D">
        <w:rPr>
          <w:b/>
          <w:bCs/>
        </w:rPr>
        <w:t>Tratamiento Tributario:</w:t>
      </w:r>
      <w:r w:rsidRPr="00FF442D">
        <w:t xml:space="preserve"> El texto no menciona las cargas impositivas aplicables a los intereses devengados por estos valores.</w:t>
      </w:r>
    </w:p>
    <w:p w14:paraId="57CB0E02" w14:textId="77777777" w:rsidR="00FF442D" w:rsidRPr="00FF442D" w:rsidRDefault="00FF442D" w:rsidP="00FF442D">
      <w:pPr>
        <w:numPr>
          <w:ilvl w:val="0"/>
          <w:numId w:val="6"/>
        </w:numPr>
      </w:pPr>
      <w:r w:rsidRPr="00FF442D">
        <w:rPr>
          <w:b/>
          <w:bCs/>
        </w:rPr>
        <w:t>Mecanismos de Reajuste:</w:t>
      </w:r>
      <w:r w:rsidRPr="00FF442D">
        <w:t xml:space="preserve"> Falta detalle sobre qué índices se utilizan para la reajustabilidad (ej. UF, variaciones del tipo de cambio, etc.).</w:t>
      </w:r>
    </w:p>
    <w:p w14:paraId="75D4B5FA" w14:textId="77777777" w:rsidR="000D1EDE" w:rsidRPr="00FF442D" w:rsidRDefault="000D1EDE" w:rsidP="00FF442D"/>
    <w:sectPr w:rsidR="000D1EDE" w:rsidRPr="00FF4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15E"/>
    <w:multiLevelType w:val="multilevel"/>
    <w:tmpl w:val="E50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57FB9"/>
    <w:multiLevelType w:val="multilevel"/>
    <w:tmpl w:val="3CF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A2F9D"/>
    <w:multiLevelType w:val="multilevel"/>
    <w:tmpl w:val="A3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67B06"/>
    <w:multiLevelType w:val="multilevel"/>
    <w:tmpl w:val="ED8C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54BEF"/>
    <w:multiLevelType w:val="multilevel"/>
    <w:tmpl w:val="A2D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F2C90"/>
    <w:multiLevelType w:val="multilevel"/>
    <w:tmpl w:val="9EC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39800">
    <w:abstractNumId w:val="1"/>
  </w:num>
  <w:num w:numId="2" w16cid:durableId="1890847365">
    <w:abstractNumId w:val="3"/>
  </w:num>
  <w:num w:numId="3" w16cid:durableId="793408385">
    <w:abstractNumId w:val="2"/>
  </w:num>
  <w:num w:numId="4" w16cid:durableId="1180316728">
    <w:abstractNumId w:val="4"/>
  </w:num>
  <w:num w:numId="5" w16cid:durableId="436826179">
    <w:abstractNumId w:val="0"/>
  </w:num>
  <w:num w:numId="6" w16cid:durableId="911430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BE"/>
    <w:rsid w:val="00071C90"/>
    <w:rsid w:val="000D1EDE"/>
    <w:rsid w:val="00320D26"/>
    <w:rsid w:val="00414AB1"/>
    <w:rsid w:val="005511BE"/>
    <w:rsid w:val="006473F9"/>
    <w:rsid w:val="00736F93"/>
    <w:rsid w:val="00BA35A6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C3EC"/>
  <w15:chartTrackingRefBased/>
  <w15:docId w15:val="{4FEA4A1B-C076-4EEA-99B2-BC18943F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2026-05-06T22:39:00Z</dcterms:created>
  <dcterms:modified xsi:type="dcterms:W3CDTF">2026-05-06T22:39:00Z</dcterms:modified>
</cp:coreProperties>
</file>