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A3B2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Análisis Técnico de los Instrumentos de Inversión de Deuda a Largo Plazo</w:t>
      </w:r>
    </w:p>
    <w:p w14:paraId="7FEDCC2F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Resumen Ejecutivo</w:t>
      </w:r>
    </w:p>
    <w:p w14:paraId="60BF3630" w14:textId="77777777" w:rsidR="00656ABE" w:rsidRPr="00656ABE" w:rsidRDefault="00656ABE" w:rsidP="00656ABE">
      <w:r w:rsidRPr="00656ABE">
        <w:t>Los instrumentos de deuda representan una categoría de inversión en renta fija caracterizada por ofrecer una rentabilidad predeterminada y conocida por el inversionista. Este rendimiento está condicionado contractualmente a la permanencia de los títulos en el portafolio hasta su fecha de vencimiento. El grupo incluye activos emitidos por diversas instituciones financieras y estatales, con horizontes temporales de maduración superiores a un año.</w:t>
      </w:r>
    </w:p>
    <w:p w14:paraId="228EA6E2" w14:textId="77777777" w:rsidR="00656ABE" w:rsidRPr="00656ABE" w:rsidRDefault="00656ABE" w:rsidP="00656ABE">
      <w:r w:rsidRPr="00656ABE">
        <w:pict w14:anchorId="01151BAA">
          <v:rect id="_x0000_i1066" style="width:0;height:1.5pt" o:hralign="center" o:hrstd="t" o:hr="t" fillcolor="#a0a0a0" stroked="f"/>
        </w:pict>
      </w:r>
    </w:p>
    <w:p w14:paraId="55A4DE9A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Contexto y Propósito del Documento</w:t>
      </w:r>
    </w:p>
    <w:p w14:paraId="30FCA41F" w14:textId="77777777" w:rsidR="00656ABE" w:rsidRPr="00656ABE" w:rsidRDefault="00656ABE" w:rsidP="00656ABE">
      <w:r w:rsidRPr="00656ABE">
        <w:t>El propósito de este documento es estructurar la definición y el alcance de los instrumentos de deuda de mediano y largo plazo. Estas herramientas son fundamentales para inversionistas que buscan previsibilidad en sus flujos de retorno y seguridad en la recuperación del capital, operando como mecanismos de financiamiento para los emisores y de ahorro programado para los adquirentes.</w:t>
      </w:r>
    </w:p>
    <w:p w14:paraId="283872BB" w14:textId="77777777" w:rsidR="00656ABE" w:rsidRPr="00656ABE" w:rsidRDefault="00656ABE" w:rsidP="00656ABE">
      <w:r w:rsidRPr="00656ABE">
        <w:pict w14:anchorId="331E1E42">
          <v:rect id="_x0000_i1068" style="width:0;height:1.5pt" o:hralign="center" o:hrstd="t" o:hr="t" fillcolor="#a0a0a0" stroked="f"/>
        </w:pict>
      </w:r>
    </w:p>
    <w:p w14:paraId="18963B3D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Desarrollo del Contenido</w:t>
      </w:r>
    </w:p>
    <w:p w14:paraId="566B5BB1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Sección 1: Clasificación de Instrumentos de Deuda</w:t>
      </w:r>
    </w:p>
    <w:p w14:paraId="6FA9688B" w14:textId="77777777" w:rsidR="00656ABE" w:rsidRPr="00656ABE" w:rsidRDefault="00656ABE" w:rsidP="00656ABE">
      <w:r w:rsidRPr="00656ABE">
        <w:t>El mercado ofrece una variedad de títulos que se agrupan según su emisor y naturaleza jurídica:</w:t>
      </w:r>
    </w:p>
    <w:p w14:paraId="511C9521" w14:textId="77777777" w:rsidR="00656ABE" w:rsidRPr="00656ABE" w:rsidRDefault="00656ABE" w:rsidP="00656ABE">
      <w:pPr>
        <w:numPr>
          <w:ilvl w:val="0"/>
          <w:numId w:val="1"/>
        </w:numPr>
      </w:pPr>
      <w:r w:rsidRPr="00656ABE">
        <w:rPr>
          <w:b/>
          <w:bCs/>
        </w:rPr>
        <w:t>Emisiones Bancarias:</w:t>
      </w:r>
      <w:r w:rsidRPr="00656ABE">
        <w:t xml:space="preserve"> Incluye letras hipotecarias y pagarés bancarios.</w:t>
      </w:r>
    </w:p>
    <w:p w14:paraId="5091FDE9" w14:textId="77777777" w:rsidR="00656ABE" w:rsidRPr="00656ABE" w:rsidRDefault="00656ABE" w:rsidP="00656ABE">
      <w:pPr>
        <w:numPr>
          <w:ilvl w:val="0"/>
          <w:numId w:val="1"/>
        </w:numPr>
      </w:pPr>
      <w:r w:rsidRPr="00656ABE">
        <w:rPr>
          <w:b/>
          <w:bCs/>
        </w:rPr>
        <w:t>Emisiones Estatales y de Tesorería:</w:t>
      </w:r>
      <w:r w:rsidRPr="00656ABE">
        <w:t xml:space="preserve"> Instrumentos emitidos para el financiamiento del gasto público o gestión de caja del Estado (Pagarés de Tesorería).</w:t>
      </w:r>
    </w:p>
    <w:p w14:paraId="0BC6B534" w14:textId="77777777" w:rsidR="00656ABE" w:rsidRPr="00656ABE" w:rsidRDefault="00656ABE" w:rsidP="00656ABE">
      <w:pPr>
        <w:numPr>
          <w:ilvl w:val="0"/>
          <w:numId w:val="1"/>
        </w:numPr>
      </w:pPr>
      <w:r w:rsidRPr="00656ABE">
        <w:rPr>
          <w:b/>
          <w:bCs/>
        </w:rPr>
        <w:t>Emisiones de Regulación Monetaria:</w:t>
      </w:r>
      <w:r w:rsidRPr="00656ABE">
        <w:t xml:space="preserve"> Instrumentos reajustables emitidos por el Banco Central con plazos superiores a un año.</w:t>
      </w:r>
    </w:p>
    <w:p w14:paraId="61225265" w14:textId="77777777" w:rsidR="00656ABE" w:rsidRPr="00656ABE" w:rsidRDefault="00656ABE" w:rsidP="00656ABE">
      <w:pPr>
        <w:numPr>
          <w:ilvl w:val="0"/>
          <w:numId w:val="1"/>
        </w:numPr>
      </w:pPr>
      <w:r w:rsidRPr="00656ABE">
        <w:rPr>
          <w:b/>
          <w:bCs/>
        </w:rPr>
        <w:t>Títulos Corporativos y Públicos Generales:</w:t>
      </w:r>
      <w:r w:rsidRPr="00656ABE">
        <w:t xml:space="preserve"> Bonos de diversas denominaciones.</w:t>
      </w:r>
    </w:p>
    <w:p w14:paraId="7CBFE9F8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Sección 2: Condiciones de Rentabilidad y Plazos</w:t>
      </w:r>
    </w:p>
    <w:p w14:paraId="697FC3E8" w14:textId="77777777" w:rsidR="00656ABE" w:rsidRPr="00656ABE" w:rsidRDefault="00656ABE" w:rsidP="00656ABE">
      <w:r w:rsidRPr="00656ABE">
        <w:t>La operatividad de estos instrumentos se rige por dos variables críticas:</w:t>
      </w:r>
    </w:p>
    <w:p w14:paraId="658B7C03" w14:textId="77777777" w:rsidR="00656ABE" w:rsidRPr="00656ABE" w:rsidRDefault="00656ABE" w:rsidP="00656ABE">
      <w:pPr>
        <w:numPr>
          <w:ilvl w:val="0"/>
          <w:numId w:val="2"/>
        </w:numPr>
      </w:pPr>
      <w:r w:rsidRPr="00656ABE">
        <w:rPr>
          <w:b/>
          <w:bCs/>
        </w:rPr>
        <w:lastRenderedPageBreak/>
        <w:t>Vencimiento:</w:t>
      </w:r>
      <w:r w:rsidRPr="00656ABE">
        <w:t xml:space="preserve"> El periodo de vigencia debe ser mayor a un año para ser considerados dentro de esta categoría de largo plazo.</w:t>
      </w:r>
    </w:p>
    <w:p w14:paraId="33216C09" w14:textId="77777777" w:rsidR="00656ABE" w:rsidRPr="00656ABE" w:rsidRDefault="00656ABE" w:rsidP="00656ABE">
      <w:pPr>
        <w:numPr>
          <w:ilvl w:val="0"/>
          <w:numId w:val="2"/>
        </w:numPr>
      </w:pPr>
      <w:r w:rsidRPr="00656ABE">
        <w:rPr>
          <w:b/>
          <w:bCs/>
        </w:rPr>
        <w:t>Rendimiento Fijo:</w:t>
      </w:r>
      <w:r w:rsidRPr="00656ABE">
        <w:t xml:space="preserve"> La tasa de retorno se pacta al inicio de la operación. Sin embargo, para que esta rentabilidad se materialice de forma "fija y conocida", el inversionista debe cumplir con el supuesto de </w:t>
      </w:r>
      <w:r w:rsidRPr="00656ABE">
        <w:rPr>
          <w:b/>
          <w:bCs/>
        </w:rPr>
        <w:t>mantenimiento hasta el vencimiento</w:t>
      </w:r>
      <w:r w:rsidRPr="00656ABE">
        <w:t>.</w:t>
      </w:r>
    </w:p>
    <w:p w14:paraId="243A7328" w14:textId="77777777" w:rsidR="00656ABE" w:rsidRPr="00656ABE" w:rsidRDefault="00656ABE" w:rsidP="00656ABE">
      <w:r w:rsidRPr="00656ABE">
        <w:pict w14:anchorId="257BAAE6">
          <v:rect id="_x0000_i1069" style="width:0;height:1.5pt" o:hralign="center" o:hrstd="t" o:hr="t" fillcolor="#a0a0a0" stroked="f"/>
        </w:pict>
      </w:r>
    </w:p>
    <w:p w14:paraId="71608FDC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Conceptos Financieros Clave</w:t>
      </w:r>
    </w:p>
    <w:p w14:paraId="207BCBF5" w14:textId="77777777" w:rsidR="00656ABE" w:rsidRPr="00656ABE" w:rsidRDefault="00656ABE" w:rsidP="00656ABE">
      <w:pPr>
        <w:numPr>
          <w:ilvl w:val="0"/>
          <w:numId w:val="3"/>
        </w:numPr>
      </w:pPr>
      <w:r w:rsidRPr="00656ABE">
        <w:rPr>
          <w:b/>
          <w:bCs/>
        </w:rPr>
        <w:t>Rentabilidad Fija:</w:t>
      </w:r>
      <w:r w:rsidRPr="00656ABE">
        <w:t xml:space="preserve"> Ganancia producida por un instrumento financiero que se conoce de antemano y no varía durante la vida del título, siempre que se cumplan las condiciones pactadas.</w:t>
      </w:r>
    </w:p>
    <w:p w14:paraId="484C322C" w14:textId="77777777" w:rsidR="00656ABE" w:rsidRPr="00656ABE" w:rsidRDefault="00656ABE" w:rsidP="00656ABE">
      <w:pPr>
        <w:numPr>
          <w:ilvl w:val="0"/>
          <w:numId w:val="3"/>
        </w:numPr>
      </w:pPr>
      <w:r w:rsidRPr="00656ABE">
        <w:rPr>
          <w:b/>
          <w:bCs/>
        </w:rPr>
        <w:t>Vencimiento:</w:t>
      </w:r>
      <w:r w:rsidRPr="00656ABE">
        <w:t xml:space="preserve"> Fecha límite en la que el emisor debe devolver el capital invertido más los intereses devengados al titular del instrumento.</w:t>
      </w:r>
    </w:p>
    <w:p w14:paraId="2E2D965B" w14:textId="77777777" w:rsidR="00656ABE" w:rsidRPr="00656ABE" w:rsidRDefault="00656ABE" w:rsidP="00656ABE">
      <w:pPr>
        <w:numPr>
          <w:ilvl w:val="0"/>
          <w:numId w:val="3"/>
        </w:numPr>
      </w:pPr>
      <w:r w:rsidRPr="00656ABE">
        <w:rPr>
          <w:b/>
          <w:bCs/>
        </w:rPr>
        <w:t>Instrumentos Reajustables:</w:t>
      </w:r>
      <w:r w:rsidRPr="00656ABE">
        <w:t xml:space="preserve"> Activos financieros que incluyen cláusulas para proteger el valor del dinero frente a variaciones (como la inflación), comunes en las emisiones del Banco Central.</w:t>
      </w:r>
    </w:p>
    <w:p w14:paraId="25EDE8C4" w14:textId="77777777" w:rsidR="00656ABE" w:rsidRPr="00656ABE" w:rsidRDefault="00656ABE" w:rsidP="00656ABE">
      <w:r w:rsidRPr="00656ABE">
        <w:pict w14:anchorId="1457FE61">
          <v:rect id="_x0000_i1070" style="width:0;height:1.5pt" o:hralign="center" o:hrstd="t" o:hr="t" fillcolor="#a0a0a0" stroked="f"/>
        </w:pict>
      </w:r>
    </w:p>
    <w:p w14:paraId="33077A86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Conclusiones / Ideas Principales</w:t>
      </w:r>
    </w:p>
    <w:p w14:paraId="40F43FEB" w14:textId="77777777" w:rsidR="00656ABE" w:rsidRPr="00656ABE" w:rsidRDefault="00656ABE" w:rsidP="00656ABE">
      <w:pPr>
        <w:numPr>
          <w:ilvl w:val="0"/>
          <w:numId w:val="4"/>
        </w:numPr>
      </w:pPr>
      <w:r w:rsidRPr="00656ABE">
        <w:t>La previsibilidad de los instrumentos de deuda los convierte en el pilar de la estrategia de renta fija de un portafolio.</w:t>
      </w:r>
    </w:p>
    <w:p w14:paraId="75450105" w14:textId="77777777" w:rsidR="00656ABE" w:rsidRPr="00656ABE" w:rsidRDefault="00656ABE" w:rsidP="00656ABE">
      <w:pPr>
        <w:numPr>
          <w:ilvl w:val="0"/>
          <w:numId w:val="4"/>
        </w:numPr>
      </w:pPr>
      <w:r w:rsidRPr="00656ABE">
        <w:t xml:space="preserve">La garantía de la rentabilidad está supeditada estrictamente al factor </w:t>
      </w:r>
      <w:r w:rsidRPr="00656ABE">
        <w:rPr>
          <w:b/>
          <w:bCs/>
        </w:rPr>
        <w:t>tiempo</w:t>
      </w:r>
      <w:r w:rsidRPr="00656ABE">
        <w:t xml:space="preserve"> (horizonte de inversión).</w:t>
      </w:r>
    </w:p>
    <w:p w14:paraId="7345172C" w14:textId="77777777" w:rsidR="00656ABE" w:rsidRPr="00656ABE" w:rsidRDefault="00656ABE" w:rsidP="00656ABE">
      <w:pPr>
        <w:numPr>
          <w:ilvl w:val="0"/>
          <w:numId w:val="4"/>
        </w:numPr>
      </w:pPr>
      <w:r w:rsidRPr="00656ABE">
        <w:t>La diversidad de emisores (Bancos, Tesorería, Banco Central) permite una segmentación del riesgo de crédito dentro de la misma categoría de deuda.</w:t>
      </w:r>
    </w:p>
    <w:p w14:paraId="3C96E4A7" w14:textId="77777777" w:rsidR="00656ABE" w:rsidRPr="00656ABE" w:rsidRDefault="00656ABE" w:rsidP="00656ABE">
      <w:r w:rsidRPr="00656ABE">
        <w:pict w14:anchorId="0EC68FA4">
          <v:rect id="_x0000_i1071" style="width:0;height:1.5pt" o:hralign="center" o:hrstd="t" o:hr="t" fillcolor="#a0a0a0" stroked="f"/>
        </w:pict>
      </w:r>
    </w:p>
    <w:p w14:paraId="03CEA347" w14:textId="77777777" w:rsidR="00656ABE" w:rsidRPr="00656ABE" w:rsidRDefault="00656ABE" w:rsidP="00656ABE">
      <w:pPr>
        <w:rPr>
          <w:b/>
          <w:bCs/>
        </w:rPr>
      </w:pPr>
      <w:r w:rsidRPr="00656ABE">
        <w:rPr>
          <w:b/>
          <w:bCs/>
        </w:rPr>
        <w:t>Supuestos, Riesgos o Consideraciones Relevantes</w:t>
      </w:r>
    </w:p>
    <w:p w14:paraId="295A8EA5" w14:textId="77777777" w:rsidR="00656ABE" w:rsidRPr="00656ABE" w:rsidRDefault="00656ABE" w:rsidP="00656ABE">
      <w:pPr>
        <w:numPr>
          <w:ilvl w:val="0"/>
          <w:numId w:val="5"/>
        </w:numPr>
      </w:pPr>
      <w:r w:rsidRPr="00656ABE">
        <w:rPr>
          <w:b/>
          <w:bCs/>
        </w:rPr>
        <w:t>Riesgo de Liquidez/Mercado:</w:t>
      </w:r>
      <w:r w:rsidRPr="00656ABE">
        <w:t xml:space="preserve"> Se asume que, si el inversionista liquida el instrumento antes de su vencimiento, la rentabilidad final podría diferir de la pactada originalmente debido a las condiciones de mercado del momento.</w:t>
      </w:r>
    </w:p>
    <w:p w14:paraId="121F1E18" w14:textId="77777777" w:rsidR="00656ABE" w:rsidRPr="00656ABE" w:rsidRDefault="00656ABE" w:rsidP="00656ABE">
      <w:pPr>
        <w:numPr>
          <w:ilvl w:val="0"/>
          <w:numId w:val="5"/>
        </w:numPr>
      </w:pPr>
      <w:r w:rsidRPr="00656ABE">
        <w:rPr>
          <w:b/>
          <w:bCs/>
        </w:rPr>
        <w:t>Riesgo de Emisor:</w:t>
      </w:r>
      <w:r w:rsidRPr="00656ABE">
        <w:t xml:space="preserve"> La rentabilidad conocida depende de la solvencia y capacidad de pago de la entidad que emite el título (Riesgo Crédito).</w:t>
      </w:r>
    </w:p>
    <w:p w14:paraId="4ED24381" w14:textId="77777777" w:rsidR="00656ABE" w:rsidRPr="00656ABE" w:rsidRDefault="00656ABE" w:rsidP="00656ABE">
      <w:r w:rsidRPr="00656ABE">
        <w:lastRenderedPageBreak/>
        <w:pict w14:anchorId="728151D7">
          <v:rect id="_x0000_i1072" style="width:0;height:1.5pt" o:hralign="center" o:hrstd="t" o:hr="t" fillcolor="#a0a0a0" stroked="f"/>
        </w:pict>
      </w:r>
    </w:p>
    <w:p w14:paraId="73747BF5" w14:textId="77777777" w:rsidR="00656ABE" w:rsidRPr="00656ABE" w:rsidRDefault="00656ABE" w:rsidP="00656ABE">
      <w:pPr>
        <w:rPr>
          <w:b/>
          <w:bCs/>
        </w:rPr>
      </w:pPr>
      <w:proofErr w:type="gramStart"/>
      <w:r w:rsidRPr="00656ABE">
        <w:rPr>
          <w:b/>
          <w:bCs/>
        </w:rPr>
        <w:t>Puntos a Aclarar</w:t>
      </w:r>
      <w:proofErr w:type="gramEnd"/>
      <w:r w:rsidRPr="00656ABE">
        <w:rPr>
          <w:b/>
          <w:bCs/>
        </w:rPr>
        <w:t xml:space="preserve"> o Información Faltante</w:t>
      </w:r>
    </w:p>
    <w:p w14:paraId="56C46CE0" w14:textId="77777777" w:rsidR="00656ABE" w:rsidRPr="00656ABE" w:rsidRDefault="00656ABE" w:rsidP="00656ABE">
      <w:pPr>
        <w:numPr>
          <w:ilvl w:val="0"/>
          <w:numId w:val="6"/>
        </w:numPr>
      </w:pPr>
      <w:r w:rsidRPr="00656ABE">
        <w:rPr>
          <w:b/>
          <w:bCs/>
        </w:rPr>
        <w:t>Frecuencia de Pagos:</w:t>
      </w:r>
      <w:r w:rsidRPr="00656ABE">
        <w:t xml:space="preserve"> El texto original no especifica si los intereses se pagan mediante cupones periódicos o al vencimiento (cupón cero).</w:t>
      </w:r>
    </w:p>
    <w:p w14:paraId="4891A56A" w14:textId="77777777" w:rsidR="00656ABE" w:rsidRPr="00656ABE" w:rsidRDefault="00656ABE" w:rsidP="00656ABE">
      <w:pPr>
        <w:numPr>
          <w:ilvl w:val="0"/>
          <w:numId w:val="6"/>
        </w:numPr>
      </w:pPr>
      <w:r w:rsidRPr="00656ABE">
        <w:rPr>
          <w:b/>
          <w:bCs/>
        </w:rPr>
        <w:t>Tratamiento Tributario:</w:t>
      </w:r>
      <w:r w:rsidRPr="00656ABE">
        <w:t xml:space="preserve"> No se detalla si estas ganancias están sujetas a impuestos específicos o beneficios de exención.</w:t>
      </w:r>
    </w:p>
    <w:p w14:paraId="1683BDC2" w14:textId="77777777" w:rsidR="00656ABE" w:rsidRPr="00656ABE" w:rsidRDefault="00656ABE" w:rsidP="00656ABE">
      <w:pPr>
        <w:numPr>
          <w:ilvl w:val="0"/>
          <w:numId w:val="6"/>
        </w:numPr>
      </w:pPr>
      <w:r w:rsidRPr="00656ABE">
        <w:rPr>
          <w:b/>
          <w:bCs/>
        </w:rPr>
        <w:t>Prelación de Pagos:</w:t>
      </w:r>
      <w:r w:rsidRPr="00656ABE">
        <w:t xml:space="preserve"> No se indica el orden de prioridad de estos instrumentos en caso de liquidación del emisor.</w:t>
      </w:r>
    </w:p>
    <w:p w14:paraId="08FB59CC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F55"/>
    <w:multiLevelType w:val="multilevel"/>
    <w:tmpl w:val="7FB2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955A6"/>
    <w:multiLevelType w:val="multilevel"/>
    <w:tmpl w:val="299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116D1"/>
    <w:multiLevelType w:val="multilevel"/>
    <w:tmpl w:val="0AA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652D5"/>
    <w:multiLevelType w:val="multilevel"/>
    <w:tmpl w:val="F54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A059A"/>
    <w:multiLevelType w:val="multilevel"/>
    <w:tmpl w:val="113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510A5"/>
    <w:multiLevelType w:val="multilevel"/>
    <w:tmpl w:val="875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959860">
    <w:abstractNumId w:val="1"/>
  </w:num>
  <w:num w:numId="2" w16cid:durableId="1952861243">
    <w:abstractNumId w:val="0"/>
  </w:num>
  <w:num w:numId="3" w16cid:durableId="1515339674">
    <w:abstractNumId w:val="3"/>
  </w:num>
  <w:num w:numId="4" w16cid:durableId="1568571292">
    <w:abstractNumId w:val="2"/>
  </w:num>
  <w:num w:numId="5" w16cid:durableId="245724380">
    <w:abstractNumId w:val="4"/>
  </w:num>
  <w:num w:numId="6" w16cid:durableId="1110316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00"/>
    <w:rsid w:val="00071C90"/>
    <w:rsid w:val="000D1EDE"/>
    <w:rsid w:val="00320D26"/>
    <w:rsid w:val="00414AB1"/>
    <w:rsid w:val="006473F9"/>
    <w:rsid w:val="00656ABE"/>
    <w:rsid w:val="00736F93"/>
    <w:rsid w:val="00767251"/>
    <w:rsid w:val="00B0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D6CC1"/>
  <w15:chartTrackingRefBased/>
  <w15:docId w15:val="{0B093C87-1F4A-4C36-A31D-FC69B03C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E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E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E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2026-05-06T22:21:00Z</dcterms:created>
  <dcterms:modified xsi:type="dcterms:W3CDTF">2026-05-06T22:21:00Z</dcterms:modified>
</cp:coreProperties>
</file>