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1C4A" w14:textId="77777777" w:rsidR="00B24CF6" w:rsidRPr="00B24CF6" w:rsidRDefault="00B24CF6" w:rsidP="00B24CF6">
      <w:pPr>
        <w:rPr>
          <w:b/>
          <w:bCs/>
        </w:rPr>
      </w:pPr>
      <w:r w:rsidRPr="00B24CF6">
        <w:rPr>
          <w:b/>
          <w:bCs/>
        </w:rPr>
        <w:t>Definición y Clasificación de Instrumentos Financieros y Valores</w:t>
      </w:r>
    </w:p>
    <w:p w14:paraId="1A2E4722" w14:textId="77777777" w:rsidR="00B24CF6" w:rsidRPr="00B24CF6" w:rsidRDefault="00B24CF6" w:rsidP="00B24CF6">
      <w:pPr>
        <w:rPr>
          <w:b/>
          <w:bCs/>
        </w:rPr>
      </w:pPr>
      <w:r w:rsidRPr="00B24CF6">
        <w:rPr>
          <w:b/>
          <w:bCs/>
        </w:rPr>
        <w:t>Resumen Ejecutivo</w:t>
      </w:r>
    </w:p>
    <w:p w14:paraId="7C6BADC1" w14:textId="77777777" w:rsidR="00B24CF6" w:rsidRPr="00B24CF6" w:rsidRDefault="00B24CF6" w:rsidP="00B24CF6">
      <w:r w:rsidRPr="00B24CF6">
        <w:t xml:space="preserve">Los instrumentos financieros, comúnmente denominados </w:t>
      </w:r>
      <w:r w:rsidRPr="00B24CF6">
        <w:rPr>
          <w:b/>
          <w:bCs/>
        </w:rPr>
        <w:t>valores</w:t>
      </w:r>
      <w:r w:rsidRPr="00B24CF6">
        <w:t>, constituyen la unidad básica de intercambio en los mercados de capitales. Se definen técnicamente como títulos transferibles que representan derechos de propiedad, crédito o inversión. Su naturaleza jurídica permite que sean negociados entre diversos agentes económicos, facilitando la canalización del ahorro hacia la inversión productiva o el financiamiento de deuda en distintos horizontes temporales.</w:t>
      </w:r>
    </w:p>
    <w:p w14:paraId="49F5AD1D" w14:textId="77777777" w:rsidR="00B24CF6" w:rsidRPr="00B24CF6" w:rsidRDefault="00B24CF6" w:rsidP="00B24CF6">
      <w:r w:rsidRPr="00B24CF6">
        <w:pict w14:anchorId="3BC1CF5C">
          <v:rect id="_x0000_i1066" style="width:0;height:1.5pt" o:hralign="center" o:hrstd="t" o:hr="t" fillcolor="#a0a0a0" stroked="f"/>
        </w:pict>
      </w:r>
    </w:p>
    <w:p w14:paraId="70FF0FDE" w14:textId="77777777" w:rsidR="00B24CF6" w:rsidRPr="00B24CF6" w:rsidRDefault="00B24CF6" w:rsidP="00B24CF6">
      <w:pPr>
        <w:rPr>
          <w:b/>
          <w:bCs/>
        </w:rPr>
      </w:pPr>
      <w:r w:rsidRPr="00B24CF6">
        <w:rPr>
          <w:b/>
          <w:bCs/>
        </w:rPr>
        <w:t>Contexto y Propósito del Documento</w:t>
      </w:r>
    </w:p>
    <w:p w14:paraId="0410ABCB" w14:textId="77777777" w:rsidR="00B24CF6" w:rsidRPr="00B24CF6" w:rsidRDefault="00B24CF6" w:rsidP="00B24CF6">
      <w:r w:rsidRPr="00B24CF6">
        <w:t>El propósito de este documento es estructurar la definición de "valores" y categorizar los distintos tipos de instrumentos que integran esta denominación. Entender qué constituye un valor es fundamental para delimitar el alcance de la normativa financiera y los derechos de los inversionistas en el mercado secundario.</w:t>
      </w:r>
    </w:p>
    <w:p w14:paraId="0E9B2CD8" w14:textId="77777777" w:rsidR="00B24CF6" w:rsidRPr="00B24CF6" w:rsidRDefault="00B24CF6" w:rsidP="00B24CF6">
      <w:r w:rsidRPr="00B24CF6">
        <w:pict w14:anchorId="153CD225">
          <v:rect id="_x0000_i1067" style="width:0;height:1.5pt" o:hralign="center" o:hrstd="t" o:hr="t" fillcolor="#a0a0a0" stroked="f"/>
        </w:pict>
      </w:r>
    </w:p>
    <w:p w14:paraId="72140061" w14:textId="77777777" w:rsidR="00B24CF6" w:rsidRPr="00B24CF6" w:rsidRDefault="00B24CF6" w:rsidP="00B24CF6">
      <w:pPr>
        <w:rPr>
          <w:b/>
          <w:bCs/>
        </w:rPr>
      </w:pPr>
      <w:r w:rsidRPr="00B24CF6">
        <w:rPr>
          <w:b/>
          <w:bCs/>
        </w:rPr>
        <w:t>Desarrollo del Contenido</w:t>
      </w:r>
    </w:p>
    <w:p w14:paraId="045F85FF" w14:textId="77777777" w:rsidR="00B24CF6" w:rsidRPr="00B24CF6" w:rsidRDefault="00B24CF6" w:rsidP="00B24CF6">
      <w:pPr>
        <w:rPr>
          <w:b/>
          <w:bCs/>
        </w:rPr>
      </w:pPr>
      <w:r w:rsidRPr="00B24CF6">
        <w:rPr>
          <w:b/>
          <w:bCs/>
        </w:rPr>
        <w:t>Sección 1: Naturaleza Jurídica del Valor</w:t>
      </w:r>
    </w:p>
    <w:p w14:paraId="5FA44BBF" w14:textId="77777777" w:rsidR="00B24CF6" w:rsidRPr="00B24CF6" w:rsidRDefault="00B24CF6" w:rsidP="00B24CF6">
      <w:r w:rsidRPr="00B24CF6">
        <w:t xml:space="preserve">La característica fundamental que define a un instrumento como "valor" es su </w:t>
      </w:r>
      <w:r w:rsidRPr="00B24CF6">
        <w:rPr>
          <w:b/>
          <w:bCs/>
        </w:rPr>
        <w:t>transferibilidad</w:t>
      </w:r>
      <w:r w:rsidRPr="00B24CF6">
        <w:t>. Esto implica que el título puede ser cedido, vendido o traspasado de un titular a otro, permitiendo la existencia de mercados líquidos. El valor actúa como un soporte representativo de un derecho económico subyacente.</w:t>
      </w:r>
    </w:p>
    <w:p w14:paraId="3CFABC7F" w14:textId="77777777" w:rsidR="00B24CF6" w:rsidRPr="00B24CF6" w:rsidRDefault="00B24CF6" w:rsidP="00B24CF6">
      <w:pPr>
        <w:rPr>
          <w:b/>
          <w:bCs/>
        </w:rPr>
      </w:pPr>
      <w:r w:rsidRPr="00B24CF6">
        <w:rPr>
          <w:b/>
          <w:bCs/>
        </w:rPr>
        <w:t>Sección 2: Clasificación de Instrumentos según su Naturaleza</w:t>
      </w:r>
    </w:p>
    <w:p w14:paraId="7A1E335E" w14:textId="77777777" w:rsidR="00B24CF6" w:rsidRPr="00B24CF6" w:rsidRDefault="00B24CF6" w:rsidP="00B24CF6">
      <w:r w:rsidRPr="00B24CF6">
        <w:t>La información proporcionada permite agrupar los valores en tres grandes categorías funcionales:</w:t>
      </w:r>
    </w:p>
    <w:p w14:paraId="73A5982E" w14:textId="77777777" w:rsidR="00B24CF6" w:rsidRPr="00B24CF6" w:rsidRDefault="00B24CF6" w:rsidP="00B24CF6">
      <w:pPr>
        <w:numPr>
          <w:ilvl w:val="0"/>
          <w:numId w:val="1"/>
        </w:numPr>
      </w:pPr>
      <w:r w:rsidRPr="00B24CF6">
        <w:rPr>
          <w:b/>
          <w:bCs/>
        </w:rPr>
        <w:t>Instrumentos de Capitalización:</w:t>
      </w:r>
      <w:r w:rsidRPr="00B24CF6">
        <w:t xml:space="preserve"> Representados principalmente por las </w:t>
      </w:r>
      <w:r w:rsidRPr="00B24CF6">
        <w:rPr>
          <w:b/>
          <w:bCs/>
        </w:rPr>
        <w:t>acciones</w:t>
      </w:r>
      <w:r w:rsidRPr="00B24CF6">
        <w:t>, las cuales otorgan al titular derechos de propiedad sobre una fracción del patrimonio de una sociedad.</w:t>
      </w:r>
    </w:p>
    <w:p w14:paraId="32CC0071" w14:textId="77777777" w:rsidR="00B24CF6" w:rsidRPr="00B24CF6" w:rsidRDefault="00B24CF6" w:rsidP="00B24CF6">
      <w:pPr>
        <w:numPr>
          <w:ilvl w:val="0"/>
          <w:numId w:val="1"/>
        </w:numPr>
      </w:pPr>
      <w:r w:rsidRPr="00B24CF6">
        <w:rPr>
          <w:b/>
          <w:bCs/>
        </w:rPr>
        <w:t>Instrumentos de Deuda:</w:t>
      </w:r>
      <w:r w:rsidRPr="00B24CF6">
        <w:t xml:space="preserve"> Títulos de crédito que obligan al emisor a restituir un capital más intereses en plazos determinados. Se clasifican según su vencimiento en:</w:t>
      </w:r>
    </w:p>
    <w:p w14:paraId="5739BFE6" w14:textId="77777777" w:rsidR="00B24CF6" w:rsidRPr="00B24CF6" w:rsidRDefault="00B24CF6" w:rsidP="00B24CF6">
      <w:pPr>
        <w:numPr>
          <w:ilvl w:val="1"/>
          <w:numId w:val="1"/>
        </w:numPr>
      </w:pPr>
      <w:r w:rsidRPr="00B24CF6">
        <w:rPr>
          <w:b/>
          <w:bCs/>
        </w:rPr>
        <w:lastRenderedPageBreak/>
        <w:t>Corto plazo:</w:t>
      </w:r>
      <w:r w:rsidRPr="00B24CF6">
        <w:t xml:space="preserve"> Generalmente menores a un año (ej. efectos de comercio, pagarés).</w:t>
      </w:r>
    </w:p>
    <w:p w14:paraId="5D83B405" w14:textId="77777777" w:rsidR="00B24CF6" w:rsidRPr="00B24CF6" w:rsidRDefault="00B24CF6" w:rsidP="00B24CF6">
      <w:pPr>
        <w:numPr>
          <w:ilvl w:val="1"/>
          <w:numId w:val="1"/>
        </w:numPr>
      </w:pPr>
      <w:r w:rsidRPr="00B24CF6">
        <w:rPr>
          <w:b/>
          <w:bCs/>
        </w:rPr>
        <w:t>Mediano y largo plazo:</w:t>
      </w:r>
      <w:r w:rsidRPr="00B24CF6">
        <w:t xml:space="preserve"> Horizontes superiores a un año (ej. bonos).</w:t>
      </w:r>
    </w:p>
    <w:p w14:paraId="209DF903" w14:textId="77777777" w:rsidR="00B24CF6" w:rsidRPr="00B24CF6" w:rsidRDefault="00B24CF6" w:rsidP="00B24CF6">
      <w:pPr>
        <w:numPr>
          <w:ilvl w:val="0"/>
          <w:numId w:val="1"/>
        </w:numPr>
      </w:pPr>
      <w:r w:rsidRPr="00B24CF6">
        <w:rPr>
          <w:b/>
          <w:bCs/>
        </w:rPr>
        <w:t>Vehículos de Inversión Colectiva:</w:t>
      </w:r>
      <w:r w:rsidRPr="00B24CF6">
        <w:t xml:space="preserve"> Instrumentos que representan la participación en patrimonios administrados por terceros:</w:t>
      </w:r>
    </w:p>
    <w:p w14:paraId="6766AFB8" w14:textId="77777777" w:rsidR="00B24CF6" w:rsidRPr="00B24CF6" w:rsidRDefault="00B24CF6" w:rsidP="00B24CF6">
      <w:pPr>
        <w:numPr>
          <w:ilvl w:val="1"/>
          <w:numId w:val="1"/>
        </w:numPr>
      </w:pPr>
      <w:r w:rsidRPr="00B24CF6">
        <w:rPr>
          <w:b/>
          <w:bCs/>
        </w:rPr>
        <w:t>Cuotas de Fondos Mutuos:</w:t>
      </w:r>
      <w:r w:rsidRPr="00B24CF6">
        <w:t xml:space="preserve"> Orientadas habitualmente a la liquidez y diversificación masiva.</w:t>
      </w:r>
    </w:p>
    <w:p w14:paraId="6970188F" w14:textId="77777777" w:rsidR="00B24CF6" w:rsidRPr="00B24CF6" w:rsidRDefault="00B24CF6" w:rsidP="00B24CF6">
      <w:pPr>
        <w:numPr>
          <w:ilvl w:val="1"/>
          <w:numId w:val="1"/>
        </w:numPr>
      </w:pPr>
      <w:r w:rsidRPr="00B24CF6">
        <w:rPr>
          <w:b/>
          <w:bCs/>
        </w:rPr>
        <w:t>Cuotas de Fondos de Inversión:</w:t>
      </w:r>
      <w:r w:rsidRPr="00B24CF6">
        <w:t xml:space="preserve"> Dirigidas con frecuencia a activos específicos o inversionistas institucionales.</w:t>
      </w:r>
    </w:p>
    <w:p w14:paraId="0C6B0350" w14:textId="77777777" w:rsidR="00B24CF6" w:rsidRPr="00B24CF6" w:rsidRDefault="00B24CF6" w:rsidP="00B24CF6">
      <w:pPr>
        <w:rPr>
          <w:b/>
          <w:bCs/>
        </w:rPr>
      </w:pPr>
      <w:r w:rsidRPr="00B24CF6">
        <w:rPr>
          <w:b/>
          <w:bCs/>
        </w:rPr>
        <w:t>Sección 3: Alcance General de los Títulos</w:t>
      </w:r>
    </w:p>
    <w:p w14:paraId="006AD3FB" w14:textId="77777777" w:rsidR="00B24CF6" w:rsidRPr="00B24CF6" w:rsidRDefault="00B24CF6" w:rsidP="00B24CF6">
      <w:r w:rsidRPr="00B24CF6">
        <w:t xml:space="preserve">La definición es extensiva a cualquier </w:t>
      </w:r>
      <w:r w:rsidRPr="00B24CF6">
        <w:rPr>
          <w:b/>
          <w:bCs/>
        </w:rPr>
        <w:t>título de crédito e inversión</w:t>
      </w:r>
      <w:r w:rsidRPr="00B24CF6">
        <w:t>. Esto significa que el concepto de valor es dinámico y puede integrar nuevos instrumentos financieros siempre que cumplan con el requisito de ser títulos transferibles destinados a la captación de recursos o la colocación de capital.</w:t>
      </w:r>
    </w:p>
    <w:p w14:paraId="5660FE75" w14:textId="77777777" w:rsidR="00B24CF6" w:rsidRPr="00B24CF6" w:rsidRDefault="00B24CF6" w:rsidP="00B24CF6">
      <w:r w:rsidRPr="00B24CF6">
        <w:pict w14:anchorId="66A47E7E">
          <v:rect id="_x0000_i1069" style="width:0;height:1.5pt" o:hralign="center" o:hrstd="t" o:hr="t" fillcolor="#a0a0a0" stroked="f"/>
        </w:pict>
      </w:r>
    </w:p>
    <w:p w14:paraId="620E9FC3" w14:textId="77777777" w:rsidR="00B24CF6" w:rsidRPr="00B24CF6" w:rsidRDefault="00B24CF6" w:rsidP="00B24CF6">
      <w:pPr>
        <w:rPr>
          <w:b/>
          <w:bCs/>
        </w:rPr>
      </w:pPr>
      <w:r w:rsidRPr="00B24CF6">
        <w:rPr>
          <w:b/>
          <w:bCs/>
        </w:rPr>
        <w:t>Conceptos Financieros Clave</w:t>
      </w:r>
    </w:p>
    <w:p w14:paraId="6613E87C" w14:textId="77777777" w:rsidR="00B24CF6" w:rsidRPr="00B24CF6" w:rsidRDefault="00B24CF6" w:rsidP="00B24CF6">
      <w:pPr>
        <w:numPr>
          <w:ilvl w:val="0"/>
          <w:numId w:val="2"/>
        </w:numPr>
      </w:pPr>
      <w:r w:rsidRPr="00B24CF6">
        <w:rPr>
          <w:b/>
          <w:bCs/>
        </w:rPr>
        <w:t>Título Transferible:</w:t>
      </w:r>
      <w:r w:rsidRPr="00B24CF6">
        <w:t xml:space="preserve"> Documento o registro cuya propiedad puede enajenarse libremente en el mercado.</w:t>
      </w:r>
    </w:p>
    <w:p w14:paraId="24CAC56D" w14:textId="77777777" w:rsidR="00B24CF6" w:rsidRPr="00B24CF6" w:rsidRDefault="00B24CF6" w:rsidP="00B24CF6">
      <w:pPr>
        <w:numPr>
          <w:ilvl w:val="0"/>
          <w:numId w:val="2"/>
        </w:numPr>
      </w:pPr>
      <w:r w:rsidRPr="00B24CF6">
        <w:rPr>
          <w:b/>
          <w:bCs/>
        </w:rPr>
        <w:t>Título de Crédito:</w:t>
      </w:r>
      <w:r w:rsidRPr="00B24CF6">
        <w:t xml:space="preserve"> Instrumento que certifica una obligación de pago de una deuda por parte del emisor.</w:t>
      </w:r>
    </w:p>
    <w:p w14:paraId="12049B0D" w14:textId="77777777" w:rsidR="00B24CF6" w:rsidRPr="00B24CF6" w:rsidRDefault="00B24CF6" w:rsidP="00B24CF6">
      <w:pPr>
        <w:numPr>
          <w:ilvl w:val="0"/>
          <w:numId w:val="2"/>
        </w:numPr>
      </w:pPr>
      <w:r w:rsidRPr="00B24CF6">
        <w:rPr>
          <w:b/>
          <w:bCs/>
        </w:rPr>
        <w:t>Título de Inversión:</w:t>
      </w:r>
      <w:r w:rsidRPr="00B24CF6">
        <w:t xml:space="preserve"> Instrumento adquirido con la expectativa de obtener un rendimiento futuro.</w:t>
      </w:r>
    </w:p>
    <w:p w14:paraId="55BCFAE4" w14:textId="77777777" w:rsidR="00B24CF6" w:rsidRPr="00B24CF6" w:rsidRDefault="00B24CF6" w:rsidP="00B24CF6">
      <w:r w:rsidRPr="00B24CF6">
        <w:pict w14:anchorId="4F9587C2">
          <v:rect id="_x0000_i1070" style="width:0;height:1.5pt" o:hralign="center" o:hrstd="t" o:hr="t" fillcolor="#a0a0a0" stroked="f"/>
        </w:pict>
      </w:r>
    </w:p>
    <w:p w14:paraId="4DF1ED5F" w14:textId="77777777" w:rsidR="00B24CF6" w:rsidRPr="00B24CF6" w:rsidRDefault="00B24CF6" w:rsidP="00B24CF6">
      <w:pPr>
        <w:rPr>
          <w:b/>
          <w:bCs/>
        </w:rPr>
      </w:pPr>
      <w:r w:rsidRPr="00B24CF6">
        <w:rPr>
          <w:b/>
          <w:bCs/>
        </w:rPr>
        <w:t>Conclusiones / Ideas Principales</w:t>
      </w:r>
    </w:p>
    <w:p w14:paraId="552C289B" w14:textId="77777777" w:rsidR="00B24CF6" w:rsidRPr="00B24CF6" w:rsidRDefault="00B24CF6" w:rsidP="00B24CF6">
      <w:pPr>
        <w:numPr>
          <w:ilvl w:val="0"/>
          <w:numId w:val="3"/>
        </w:numPr>
      </w:pPr>
      <w:r w:rsidRPr="00B24CF6">
        <w:t xml:space="preserve">El concepto de "Valores" es una </w:t>
      </w:r>
      <w:r w:rsidRPr="00B24CF6">
        <w:rPr>
          <w:b/>
          <w:bCs/>
        </w:rPr>
        <w:t>categoría omnicomprensiva</w:t>
      </w:r>
      <w:r w:rsidRPr="00B24CF6">
        <w:t xml:space="preserve"> que abarca desde la propiedad empresarial (acciones) hasta el financiamiento estatal o corporativo (deuda).</w:t>
      </w:r>
    </w:p>
    <w:p w14:paraId="1A1EAD02" w14:textId="77777777" w:rsidR="00B24CF6" w:rsidRPr="00B24CF6" w:rsidRDefault="00B24CF6" w:rsidP="00B24CF6">
      <w:pPr>
        <w:numPr>
          <w:ilvl w:val="0"/>
          <w:numId w:val="3"/>
        </w:numPr>
      </w:pPr>
      <w:r w:rsidRPr="00B24CF6">
        <w:t xml:space="preserve">La </w:t>
      </w:r>
      <w:r w:rsidRPr="00B24CF6">
        <w:rPr>
          <w:b/>
          <w:bCs/>
        </w:rPr>
        <w:t>transferibilidad</w:t>
      </w:r>
      <w:r w:rsidRPr="00B24CF6">
        <w:t xml:space="preserve"> es el pilar que permite que estos instrumentos sean transados en bolsas de valores o mercados extrabursátiles.</w:t>
      </w:r>
    </w:p>
    <w:p w14:paraId="25DFF261" w14:textId="77777777" w:rsidR="00B24CF6" w:rsidRPr="00B24CF6" w:rsidRDefault="00B24CF6" w:rsidP="00B24CF6">
      <w:pPr>
        <w:numPr>
          <w:ilvl w:val="0"/>
          <w:numId w:val="3"/>
        </w:numPr>
      </w:pPr>
      <w:r w:rsidRPr="00B24CF6">
        <w:lastRenderedPageBreak/>
        <w:t>La diversificación de instrumentos (deuda vs. capitalización) permite a los inversionistas construir portafolios ajustados a sus objetivos de riesgo y plazo.</w:t>
      </w:r>
    </w:p>
    <w:p w14:paraId="1B62461D" w14:textId="77777777" w:rsidR="00B24CF6" w:rsidRPr="00B24CF6" w:rsidRDefault="00B24CF6" w:rsidP="00B24CF6">
      <w:r w:rsidRPr="00B24CF6">
        <w:pict w14:anchorId="3685EB1A">
          <v:rect id="_x0000_i1071" style="width:0;height:1.5pt" o:hralign="center" o:hrstd="t" o:hr="t" fillcolor="#a0a0a0" stroked="f"/>
        </w:pict>
      </w:r>
    </w:p>
    <w:p w14:paraId="242875F7" w14:textId="77777777" w:rsidR="00B24CF6" w:rsidRPr="00B24CF6" w:rsidRDefault="00B24CF6" w:rsidP="00B24CF6">
      <w:pPr>
        <w:rPr>
          <w:b/>
          <w:bCs/>
        </w:rPr>
      </w:pPr>
      <w:r w:rsidRPr="00B24CF6">
        <w:rPr>
          <w:b/>
          <w:bCs/>
        </w:rPr>
        <w:t>Supuestos, Riesgos o Consideraciones Relevantes</w:t>
      </w:r>
    </w:p>
    <w:p w14:paraId="3F425DBF" w14:textId="77777777" w:rsidR="00B24CF6" w:rsidRPr="00B24CF6" w:rsidRDefault="00B24CF6" w:rsidP="00B24CF6">
      <w:pPr>
        <w:numPr>
          <w:ilvl w:val="0"/>
          <w:numId w:val="4"/>
        </w:numPr>
      </w:pPr>
      <w:r w:rsidRPr="00B24CF6">
        <w:rPr>
          <w:b/>
          <w:bCs/>
        </w:rPr>
        <w:t>Riesgo de Mercado:</w:t>
      </w:r>
      <w:r w:rsidRPr="00B24CF6">
        <w:t xml:space="preserve"> Al ser títulos transferibles, su valor de reventa puede fluctuar según las condiciones del mercado y la solvencia del emisor.</w:t>
      </w:r>
    </w:p>
    <w:p w14:paraId="70133A22" w14:textId="77777777" w:rsidR="00B24CF6" w:rsidRPr="00B24CF6" w:rsidRDefault="00B24CF6" w:rsidP="00B24CF6">
      <w:pPr>
        <w:numPr>
          <w:ilvl w:val="0"/>
          <w:numId w:val="4"/>
        </w:numPr>
      </w:pPr>
      <w:r w:rsidRPr="00B24CF6">
        <w:rPr>
          <w:b/>
          <w:bCs/>
        </w:rPr>
        <w:t>Supuesto de Liquidez:</w:t>
      </w:r>
      <w:r w:rsidRPr="00B24CF6">
        <w:t xml:space="preserve"> Se asume que, al ser transferibles, existe una infraestructura (mercado) que permite realizar dicha transferencia de manera eficiente.</w:t>
      </w:r>
    </w:p>
    <w:p w14:paraId="2CAA0AB6" w14:textId="77777777" w:rsidR="00B24CF6" w:rsidRPr="00B24CF6" w:rsidRDefault="00B24CF6" w:rsidP="00B24CF6">
      <w:r w:rsidRPr="00B24CF6">
        <w:pict w14:anchorId="4A99252D">
          <v:rect id="_x0000_i1072" style="width:0;height:1.5pt" o:hralign="center" o:hrstd="t" o:hr="t" fillcolor="#a0a0a0" stroked="f"/>
        </w:pict>
      </w:r>
    </w:p>
    <w:p w14:paraId="1269B260" w14:textId="77777777" w:rsidR="00B24CF6" w:rsidRPr="00B24CF6" w:rsidRDefault="00B24CF6" w:rsidP="00B24CF6">
      <w:pPr>
        <w:rPr>
          <w:b/>
          <w:bCs/>
        </w:rPr>
      </w:pPr>
      <w:proofErr w:type="gramStart"/>
      <w:r w:rsidRPr="00B24CF6">
        <w:rPr>
          <w:b/>
          <w:bCs/>
        </w:rPr>
        <w:t>Puntos a Aclarar</w:t>
      </w:r>
      <w:proofErr w:type="gramEnd"/>
      <w:r w:rsidRPr="00B24CF6">
        <w:rPr>
          <w:b/>
          <w:bCs/>
        </w:rPr>
        <w:t xml:space="preserve"> o Información Faltante</w:t>
      </w:r>
    </w:p>
    <w:p w14:paraId="7BECC092" w14:textId="77777777" w:rsidR="00B24CF6" w:rsidRPr="00B24CF6" w:rsidRDefault="00B24CF6" w:rsidP="00B24CF6">
      <w:pPr>
        <w:numPr>
          <w:ilvl w:val="0"/>
          <w:numId w:val="5"/>
        </w:numPr>
      </w:pPr>
      <w:r w:rsidRPr="00B24CF6">
        <w:rPr>
          <w:b/>
          <w:bCs/>
        </w:rPr>
        <w:t>Marco Regulatorio:</w:t>
      </w:r>
      <w:r w:rsidRPr="00B24CF6">
        <w:t xml:space="preserve"> El texto no especifica bajo qué ley o registro (como el Registro de Valores de la CMF) deben estar inscritos estos instrumentos para ser de oferta pública.</w:t>
      </w:r>
    </w:p>
    <w:p w14:paraId="44A4ADFB" w14:textId="77777777" w:rsidR="00B24CF6" w:rsidRPr="00B24CF6" w:rsidRDefault="00B24CF6" w:rsidP="00B24CF6">
      <w:pPr>
        <w:numPr>
          <w:ilvl w:val="0"/>
          <w:numId w:val="5"/>
        </w:numPr>
      </w:pPr>
      <w:r w:rsidRPr="00B24CF6">
        <w:rPr>
          <w:b/>
          <w:bCs/>
        </w:rPr>
        <w:t>Derechos Políticos vs. Económicos:</w:t>
      </w:r>
      <w:r w:rsidRPr="00B24CF6">
        <w:t xml:space="preserve"> No se detalla qué derechos adicionales (como el voto en acciones) acompañan a la transferencia del título.</w:t>
      </w:r>
    </w:p>
    <w:p w14:paraId="7CB34348" w14:textId="77777777" w:rsidR="00B24CF6" w:rsidRPr="00B24CF6" w:rsidRDefault="00B24CF6" w:rsidP="00B24CF6">
      <w:pPr>
        <w:numPr>
          <w:ilvl w:val="0"/>
          <w:numId w:val="5"/>
        </w:numPr>
      </w:pPr>
      <w:r w:rsidRPr="00B24CF6">
        <w:rPr>
          <w:b/>
          <w:bCs/>
        </w:rPr>
        <w:t>Forma de Emisión:</w:t>
      </w:r>
      <w:r w:rsidRPr="00B24CF6">
        <w:t xml:space="preserve"> No se menciona si estos valores deben ser físicos o pueden ser desmaterializados (anotaciones en cuenta).</w:t>
      </w:r>
    </w:p>
    <w:p w14:paraId="1472F70F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16F76"/>
    <w:multiLevelType w:val="multilevel"/>
    <w:tmpl w:val="C7D6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4685E"/>
    <w:multiLevelType w:val="multilevel"/>
    <w:tmpl w:val="7CBA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D2945"/>
    <w:multiLevelType w:val="multilevel"/>
    <w:tmpl w:val="F7E2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D070C"/>
    <w:multiLevelType w:val="multilevel"/>
    <w:tmpl w:val="30C4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40888"/>
    <w:multiLevelType w:val="multilevel"/>
    <w:tmpl w:val="12629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5699737">
    <w:abstractNumId w:val="4"/>
  </w:num>
  <w:num w:numId="2" w16cid:durableId="1145778965">
    <w:abstractNumId w:val="1"/>
  </w:num>
  <w:num w:numId="3" w16cid:durableId="1950701417">
    <w:abstractNumId w:val="3"/>
  </w:num>
  <w:num w:numId="4" w16cid:durableId="186647209">
    <w:abstractNumId w:val="0"/>
  </w:num>
  <w:num w:numId="5" w16cid:durableId="535972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5F"/>
    <w:rsid w:val="00071C90"/>
    <w:rsid w:val="000D1EDE"/>
    <w:rsid w:val="002A5024"/>
    <w:rsid w:val="00320D26"/>
    <w:rsid w:val="00414AB1"/>
    <w:rsid w:val="006473F9"/>
    <w:rsid w:val="00736F93"/>
    <w:rsid w:val="007C5E5F"/>
    <w:rsid w:val="00B2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DC45B"/>
  <w15:chartTrackingRefBased/>
  <w15:docId w15:val="{C17BDD0D-4505-416A-9612-70B7335EB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5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5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5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5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5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5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5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5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5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5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5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5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5E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5E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5E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5E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5E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5E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5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5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5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5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5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5E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5E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5E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5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5E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5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655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2026-05-06T23:03:00Z</dcterms:created>
  <dcterms:modified xsi:type="dcterms:W3CDTF">2026-05-06T23:04:00Z</dcterms:modified>
</cp:coreProperties>
</file>