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2D073" w14:textId="77777777" w:rsidR="007A0483" w:rsidRPr="007A0483" w:rsidRDefault="007A0483" w:rsidP="007A0483">
      <w:pPr>
        <w:rPr>
          <w:b/>
          <w:bCs/>
        </w:rPr>
      </w:pPr>
      <w:r w:rsidRPr="007A0483">
        <w:rPr>
          <w:b/>
          <w:bCs/>
        </w:rPr>
        <w:t>Análisis de Instrumentos de Intermediación Financiera (IIF) de Corto Plazo</w:t>
      </w:r>
    </w:p>
    <w:p w14:paraId="6063C7A2" w14:textId="77777777" w:rsidR="007A0483" w:rsidRPr="007A0483" w:rsidRDefault="007A0483" w:rsidP="007A0483">
      <w:pPr>
        <w:rPr>
          <w:b/>
          <w:bCs/>
        </w:rPr>
      </w:pPr>
      <w:r w:rsidRPr="007A0483">
        <w:rPr>
          <w:b/>
          <w:bCs/>
        </w:rPr>
        <w:t>Resumen Ejecutivo</w:t>
      </w:r>
    </w:p>
    <w:p w14:paraId="6EEE755B" w14:textId="77777777" w:rsidR="007A0483" w:rsidRPr="007A0483" w:rsidRDefault="007A0483" w:rsidP="007A0483">
      <w:r w:rsidRPr="007A0483">
        <w:t xml:space="preserve">Los Instrumentos de Intermediación Financiera (IIF) constituyen una categoría específica de activos de </w:t>
      </w:r>
      <w:r w:rsidRPr="007A0483">
        <w:rPr>
          <w:b/>
          <w:bCs/>
        </w:rPr>
        <w:t>renta fija</w:t>
      </w:r>
      <w:r w:rsidRPr="007A0483">
        <w:t xml:space="preserve"> orientada al corto plazo (vencimientos inferiores a un año). Estos valores actúan como promesas de pago que garantizan al inversionista una rentabilidad predeterminada, siempre que se cumpla la condición contractual de permanencia hasta el vencimiento. Su función principal en el mercado de capitales es proporcionar liquidez y actuar como vehículos de inversión de bajo riesgo relativo, emitidos tanto por entidades privadas como por el Banco Central.</w:t>
      </w:r>
    </w:p>
    <w:p w14:paraId="4D19064A" w14:textId="77777777" w:rsidR="007A0483" w:rsidRPr="007A0483" w:rsidRDefault="007A0483" w:rsidP="007A0483">
      <w:r w:rsidRPr="007A0483">
        <w:pict w14:anchorId="76569BA6">
          <v:rect id="_x0000_i1061" style="width:0;height:1.5pt" o:hralign="center" o:hrstd="t" o:hr="t" fillcolor="#a0a0a0" stroked="f"/>
        </w:pict>
      </w:r>
    </w:p>
    <w:p w14:paraId="541323D1" w14:textId="77777777" w:rsidR="007A0483" w:rsidRPr="007A0483" w:rsidRDefault="007A0483" w:rsidP="007A0483">
      <w:pPr>
        <w:rPr>
          <w:b/>
          <w:bCs/>
        </w:rPr>
      </w:pPr>
      <w:r w:rsidRPr="007A0483">
        <w:rPr>
          <w:b/>
          <w:bCs/>
        </w:rPr>
        <w:t>Contexto y Propósito del Documento</w:t>
      </w:r>
    </w:p>
    <w:p w14:paraId="7D51E815" w14:textId="77777777" w:rsidR="007A0483" w:rsidRPr="007A0483" w:rsidRDefault="007A0483" w:rsidP="007A0483">
      <w:r w:rsidRPr="007A0483">
        <w:t>El propósito de este informe es definir técnica y operativamente los IIF, diferenciándolos de los instrumentos de deuda de largo plazo. Este análisis estructura la tipología de activos disponibles en el mercado chileno para la gestión de excedentes de caja y tesorería, subrayando la importancia del factor tiempo en la consolidación de la rentabilidad pactada.</w:t>
      </w:r>
    </w:p>
    <w:p w14:paraId="4A4161B1" w14:textId="77777777" w:rsidR="007A0483" w:rsidRPr="007A0483" w:rsidRDefault="007A0483" w:rsidP="007A0483">
      <w:r w:rsidRPr="007A0483">
        <w:pict w14:anchorId="739E20AB">
          <v:rect id="_x0000_i1062" style="width:0;height:1.5pt" o:hralign="center" o:hrstd="t" o:hr="t" fillcolor="#a0a0a0" stroked="f"/>
        </w:pict>
      </w:r>
    </w:p>
    <w:p w14:paraId="494DAB14" w14:textId="77777777" w:rsidR="007A0483" w:rsidRPr="007A0483" w:rsidRDefault="007A0483" w:rsidP="007A0483">
      <w:pPr>
        <w:rPr>
          <w:b/>
          <w:bCs/>
        </w:rPr>
      </w:pPr>
      <w:r w:rsidRPr="007A0483">
        <w:rPr>
          <w:b/>
          <w:bCs/>
        </w:rPr>
        <w:t>Desarrollo del Contenido</w:t>
      </w:r>
    </w:p>
    <w:p w14:paraId="43A8E7B2" w14:textId="77777777" w:rsidR="007A0483" w:rsidRPr="007A0483" w:rsidRDefault="007A0483" w:rsidP="007A0483">
      <w:pPr>
        <w:rPr>
          <w:b/>
          <w:bCs/>
        </w:rPr>
      </w:pPr>
      <w:r w:rsidRPr="007A0483">
        <w:rPr>
          <w:b/>
          <w:bCs/>
        </w:rPr>
        <w:t>Sección 1: Naturaleza y Condiciones de Rentabilidad</w:t>
      </w:r>
    </w:p>
    <w:p w14:paraId="41CD71CE" w14:textId="77777777" w:rsidR="007A0483" w:rsidRPr="007A0483" w:rsidRDefault="007A0483" w:rsidP="007A0483">
      <w:r w:rsidRPr="007A0483">
        <w:t>Los IIF se caracterizan por ser instrumentos de deuda donde el emisor se obliga a devolver el capital más un rendimiento en un plazo acotado.</w:t>
      </w:r>
    </w:p>
    <w:p w14:paraId="0193B306" w14:textId="77777777" w:rsidR="007A0483" w:rsidRPr="007A0483" w:rsidRDefault="007A0483" w:rsidP="007A0483">
      <w:pPr>
        <w:numPr>
          <w:ilvl w:val="0"/>
          <w:numId w:val="1"/>
        </w:numPr>
      </w:pPr>
      <w:r w:rsidRPr="007A0483">
        <w:rPr>
          <w:b/>
          <w:bCs/>
        </w:rPr>
        <w:t>Temporalidad:</w:t>
      </w:r>
      <w:r w:rsidRPr="007A0483">
        <w:t xml:space="preserve"> El horizonte de inversión es estrictamente </w:t>
      </w:r>
      <w:r w:rsidRPr="007A0483">
        <w:rPr>
          <w:b/>
          <w:bCs/>
        </w:rPr>
        <w:t>menor a un año</w:t>
      </w:r>
      <w:r w:rsidRPr="007A0483">
        <w:t>.</w:t>
      </w:r>
    </w:p>
    <w:p w14:paraId="1A478FB9" w14:textId="77777777" w:rsidR="007A0483" w:rsidRPr="007A0483" w:rsidRDefault="007A0483" w:rsidP="007A0483">
      <w:pPr>
        <w:numPr>
          <w:ilvl w:val="0"/>
          <w:numId w:val="1"/>
        </w:numPr>
      </w:pPr>
      <w:r w:rsidRPr="007A0483">
        <w:rPr>
          <w:b/>
          <w:bCs/>
        </w:rPr>
        <w:t>Certeza del Retorno:</w:t>
      </w:r>
      <w:r w:rsidRPr="007A0483">
        <w:t xml:space="preserve"> La rentabilidad es "fija y conocida" desde el momento de la transacción.</w:t>
      </w:r>
    </w:p>
    <w:p w14:paraId="46617BEF" w14:textId="77777777" w:rsidR="007A0483" w:rsidRPr="007A0483" w:rsidRDefault="007A0483" w:rsidP="007A0483">
      <w:pPr>
        <w:numPr>
          <w:ilvl w:val="0"/>
          <w:numId w:val="1"/>
        </w:numPr>
      </w:pPr>
      <w:r w:rsidRPr="007A0483">
        <w:rPr>
          <w:b/>
          <w:bCs/>
        </w:rPr>
        <w:t>Condición Crítica:</w:t>
      </w:r>
      <w:r w:rsidRPr="007A0483">
        <w:t xml:space="preserve"> El inversionista asegura el rendimiento original solo si mantiene el título hasta su fecha de vencimiento. Si se liquida antes en el mercado secundario, la rentabilidad queda sujeta a las fluctuaciones de las tasas de interés del mercado.</w:t>
      </w:r>
    </w:p>
    <w:p w14:paraId="24DC48FE" w14:textId="77777777" w:rsidR="007A0483" w:rsidRPr="007A0483" w:rsidRDefault="007A0483" w:rsidP="007A0483">
      <w:pPr>
        <w:rPr>
          <w:b/>
          <w:bCs/>
        </w:rPr>
      </w:pPr>
      <w:r w:rsidRPr="007A0483">
        <w:rPr>
          <w:b/>
          <w:bCs/>
        </w:rPr>
        <w:t>Sección 2: Clasificación de los Instrumentos (Tipología)</w:t>
      </w:r>
    </w:p>
    <w:p w14:paraId="31E90D3E" w14:textId="77777777" w:rsidR="007A0483" w:rsidRPr="007A0483" w:rsidRDefault="007A0483" w:rsidP="007A0483">
      <w:r w:rsidRPr="007A0483">
        <w:t>La información identifica cuatro instrumentos principales, diferenciados por su emisor y su mecanismo de ajuste:</w:t>
      </w:r>
    </w:p>
    <w:p w14:paraId="54ADDC9D" w14:textId="77777777" w:rsidR="007A0483" w:rsidRPr="007A0483" w:rsidRDefault="007A0483" w:rsidP="007A0483">
      <w:pPr>
        <w:numPr>
          <w:ilvl w:val="0"/>
          <w:numId w:val="2"/>
        </w:numPr>
      </w:pPr>
      <w:r w:rsidRPr="007A0483">
        <w:rPr>
          <w:b/>
          <w:bCs/>
        </w:rPr>
        <w:lastRenderedPageBreak/>
        <w:t>Instrumentos de Emisores Privados y Bancarios:</w:t>
      </w:r>
    </w:p>
    <w:p w14:paraId="2CF54BC0" w14:textId="77777777" w:rsidR="007A0483" w:rsidRPr="007A0483" w:rsidRDefault="007A0483" w:rsidP="007A0483">
      <w:pPr>
        <w:numPr>
          <w:ilvl w:val="1"/>
          <w:numId w:val="2"/>
        </w:numPr>
      </w:pPr>
      <w:r w:rsidRPr="007A0483">
        <w:rPr>
          <w:b/>
          <w:bCs/>
        </w:rPr>
        <w:t>Efectos de Comercio:</w:t>
      </w:r>
      <w:r w:rsidRPr="007A0483">
        <w:t xml:space="preserve"> Títulos de deuda de corto plazo emitidos por sociedades anónimas para financiar capital de trabajo.</w:t>
      </w:r>
    </w:p>
    <w:p w14:paraId="5967E0FC" w14:textId="77777777" w:rsidR="007A0483" w:rsidRPr="007A0483" w:rsidRDefault="007A0483" w:rsidP="007A0483">
      <w:pPr>
        <w:numPr>
          <w:ilvl w:val="1"/>
          <w:numId w:val="2"/>
        </w:numPr>
      </w:pPr>
      <w:r w:rsidRPr="007A0483">
        <w:rPr>
          <w:b/>
          <w:bCs/>
        </w:rPr>
        <w:t>Depósitos a Plazo Reajustables:</w:t>
      </w:r>
      <w:r w:rsidRPr="007A0483">
        <w:t xml:space="preserve"> Inversiones en instituciones financieras que incluyen una cláusula de reajuste (generalmente UF) para proteger el poder adquisitivo.</w:t>
      </w:r>
    </w:p>
    <w:p w14:paraId="012F1465" w14:textId="77777777" w:rsidR="007A0483" w:rsidRPr="007A0483" w:rsidRDefault="007A0483" w:rsidP="007A0483">
      <w:pPr>
        <w:numPr>
          <w:ilvl w:val="0"/>
          <w:numId w:val="2"/>
        </w:numPr>
      </w:pPr>
      <w:r w:rsidRPr="007A0483">
        <w:rPr>
          <w:b/>
          <w:bCs/>
        </w:rPr>
        <w:t>Instrumentos de Regulación Monetaria (Banco Central):</w:t>
      </w:r>
    </w:p>
    <w:p w14:paraId="062E08F0" w14:textId="77777777" w:rsidR="007A0483" w:rsidRPr="007A0483" w:rsidRDefault="007A0483" w:rsidP="007A0483">
      <w:pPr>
        <w:numPr>
          <w:ilvl w:val="1"/>
          <w:numId w:val="2"/>
        </w:numPr>
      </w:pPr>
      <w:r w:rsidRPr="007A0483">
        <w:rPr>
          <w:b/>
          <w:bCs/>
        </w:rPr>
        <w:t>PDBC (Pagarés Descontables del Banco Central):</w:t>
      </w:r>
      <w:r w:rsidRPr="007A0483">
        <w:t xml:space="preserve"> Instrumentos emitidos "a descuento", donde el interés es la diferencia entre el precio de compra y el valor nominal al vencimiento.</w:t>
      </w:r>
    </w:p>
    <w:p w14:paraId="2F19930A" w14:textId="77777777" w:rsidR="007A0483" w:rsidRPr="007A0483" w:rsidRDefault="007A0483" w:rsidP="007A0483">
      <w:pPr>
        <w:numPr>
          <w:ilvl w:val="1"/>
          <w:numId w:val="2"/>
        </w:numPr>
      </w:pPr>
      <w:r w:rsidRPr="007A0483">
        <w:rPr>
          <w:b/>
          <w:bCs/>
        </w:rPr>
        <w:t>PRBC (Pagarés Reajustables del Banco Central):</w:t>
      </w:r>
      <w:r w:rsidRPr="007A0483">
        <w:t xml:space="preserve"> Títulos que, además de la tasa pactada, se ajustan por variaciones de inflación (moneda reajustable).</w:t>
      </w:r>
    </w:p>
    <w:p w14:paraId="032AC049" w14:textId="77777777" w:rsidR="007A0483" w:rsidRPr="007A0483" w:rsidRDefault="007A0483" w:rsidP="007A0483">
      <w:r w:rsidRPr="007A0483">
        <w:pict w14:anchorId="14583995">
          <v:rect id="_x0000_i1063" style="width:0;height:1.5pt" o:hralign="center" o:hrstd="t" o:hr="t" fillcolor="#a0a0a0" stroked="f"/>
        </w:pict>
      </w:r>
    </w:p>
    <w:p w14:paraId="1A1F55F3" w14:textId="77777777" w:rsidR="007A0483" w:rsidRPr="007A0483" w:rsidRDefault="007A0483" w:rsidP="007A0483">
      <w:pPr>
        <w:rPr>
          <w:b/>
          <w:bCs/>
        </w:rPr>
      </w:pPr>
      <w:r w:rsidRPr="007A0483">
        <w:rPr>
          <w:b/>
          <w:bCs/>
        </w:rPr>
        <w:t>Conceptos Financieros Clave</w:t>
      </w:r>
    </w:p>
    <w:p w14:paraId="3F31078F" w14:textId="77777777" w:rsidR="007A0483" w:rsidRPr="007A0483" w:rsidRDefault="007A0483" w:rsidP="007A0483">
      <w:pPr>
        <w:numPr>
          <w:ilvl w:val="0"/>
          <w:numId w:val="3"/>
        </w:numPr>
      </w:pPr>
      <w:r w:rsidRPr="007A0483">
        <w:rPr>
          <w:b/>
          <w:bCs/>
        </w:rPr>
        <w:t>Vencimiento:</w:t>
      </w:r>
      <w:r w:rsidRPr="007A0483">
        <w:t xml:space="preserve"> Fecha estipulada en la que el emisor extingue la deuda pagando el capital y los intereses.</w:t>
      </w:r>
    </w:p>
    <w:p w14:paraId="56FBDB97" w14:textId="77777777" w:rsidR="007A0483" w:rsidRPr="007A0483" w:rsidRDefault="007A0483" w:rsidP="007A0483">
      <w:pPr>
        <w:numPr>
          <w:ilvl w:val="0"/>
          <w:numId w:val="3"/>
        </w:numPr>
      </w:pPr>
      <w:r w:rsidRPr="007A0483">
        <w:rPr>
          <w:b/>
          <w:bCs/>
        </w:rPr>
        <w:t>Reajustabilidad:</w:t>
      </w:r>
      <w:r w:rsidRPr="007A0483">
        <w:t xml:space="preserve"> Mecanismo que indexa el valor del capital a una unidad de medida (como la UF) para evitar la erosión por inflación.</w:t>
      </w:r>
    </w:p>
    <w:p w14:paraId="172421E6" w14:textId="77777777" w:rsidR="007A0483" w:rsidRPr="007A0483" w:rsidRDefault="007A0483" w:rsidP="007A0483">
      <w:pPr>
        <w:numPr>
          <w:ilvl w:val="0"/>
          <w:numId w:val="3"/>
        </w:numPr>
      </w:pPr>
      <w:r w:rsidRPr="007A0483">
        <w:rPr>
          <w:b/>
          <w:bCs/>
        </w:rPr>
        <w:t>Emisión a Descuento:</w:t>
      </w:r>
      <w:r w:rsidRPr="007A0483">
        <w:t xml:space="preserve"> Técnica donde el título se adquiere por un valor inferior a su valor nominal; la ganancia es la diferencia entre ambos montos.</w:t>
      </w:r>
    </w:p>
    <w:p w14:paraId="60353990" w14:textId="77777777" w:rsidR="007A0483" w:rsidRPr="007A0483" w:rsidRDefault="007A0483" w:rsidP="007A0483">
      <w:pPr>
        <w:numPr>
          <w:ilvl w:val="0"/>
          <w:numId w:val="3"/>
        </w:numPr>
      </w:pPr>
      <w:r w:rsidRPr="007A0483">
        <w:rPr>
          <w:b/>
          <w:bCs/>
        </w:rPr>
        <w:t>Intermediación Financiera:</w:t>
      </w:r>
      <w:r w:rsidRPr="007A0483">
        <w:t xml:space="preserve"> Proceso por el cual las instituciones captan recursos de agentes superavitarios para canalizarlos hacia agentes deficitarios.</w:t>
      </w:r>
    </w:p>
    <w:p w14:paraId="74EE2E50" w14:textId="77777777" w:rsidR="007A0483" w:rsidRPr="007A0483" w:rsidRDefault="007A0483" w:rsidP="007A0483">
      <w:r w:rsidRPr="007A0483">
        <w:pict w14:anchorId="17A5CD8B">
          <v:rect id="_x0000_i1064" style="width:0;height:1.5pt" o:hralign="center" o:hrstd="t" o:hr="t" fillcolor="#a0a0a0" stroked="f"/>
        </w:pict>
      </w:r>
    </w:p>
    <w:p w14:paraId="7073AD91" w14:textId="77777777" w:rsidR="007A0483" w:rsidRPr="007A0483" w:rsidRDefault="007A0483" w:rsidP="007A0483">
      <w:pPr>
        <w:rPr>
          <w:b/>
          <w:bCs/>
        </w:rPr>
      </w:pPr>
      <w:r w:rsidRPr="007A0483">
        <w:rPr>
          <w:b/>
          <w:bCs/>
        </w:rPr>
        <w:t>Conclusiones / Ideas Principales</w:t>
      </w:r>
    </w:p>
    <w:p w14:paraId="20D69348" w14:textId="77777777" w:rsidR="007A0483" w:rsidRPr="007A0483" w:rsidRDefault="007A0483" w:rsidP="007A0483">
      <w:pPr>
        <w:numPr>
          <w:ilvl w:val="0"/>
          <w:numId w:val="4"/>
        </w:numPr>
      </w:pPr>
      <w:r w:rsidRPr="007A0483">
        <w:t xml:space="preserve">Los IIF son herramientas de </w:t>
      </w:r>
      <w:r w:rsidRPr="007A0483">
        <w:rPr>
          <w:b/>
          <w:bCs/>
        </w:rPr>
        <w:t>alta liquidez</w:t>
      </w:r>
      <w:r w:rsidRPr="007A0483">
        <w:t xml:space="preserve"> debido a sus plazos inferiores a 365 días.</w:t>
      </w:r>
    </w:p>
    <w:p w14:paraId="62DCF185" w14:textId="77777777" w:rsidR="007A0483" w:rsidRPr="007A0483" w:rsidRDefault="007A0483" w:rsidP="007A0483">
      <w:pPr>
        <w:numPr>
          <w:ilvl w:val="0"/>
          <w:numId w:val="4"/>
        </w:numPr>
      </w:pPr>
      <w:r w:rsidRPr="007A0483">
        <w:t>La rentabilidad fija ofrece seguridad al inversionista, permitiendo proyecciones de flujo de caja precisas.</w:t>
      </w:r>
    </w:p>
    <w:p w14:paraId="512A5647" w14:textId="77777777" w:rsidR="007A0483" w:rsidRPr="007A0483" w:rsidRDefault="007A0483" w:rsidP="007A0483">
      <w:pPr>
        <w:numPr>
          <w:ilvl w:val="0"/>
          <w:numId w:val="4"/>
        </w:numPr>
      </w:pPr>
      <w:r w:rsidRPr="007A0483">
        <w:lastRenderedPageBreak/>
        <w:t>La presencia de instrumentos del Banco Central (PDBC/PRBC) otorga una referencia de tasa libre de riesgo para el mercado de corto plazo.</w:t>
      </w:r>
    </w:p>
    <w:p w14:paraId="603CCF43" w14:textId="77777777" w:rsidR="007A0483" w:rsidRPr="007A0483" w:rsidRDefault="007A0483" w:rsidP="007A0483">
      <w:r w:rsidRPr="007A0483">
        <w:pict w14:anchorId="4ECAFAC1">
          <v:rect id="_x0000_i1065" style="width:0;height:1.5pt" o:hralign="center" o:hrstd="t" o:hr="t" fillcolor="#a0a0a0" stroked="f"/>
        </w:pict>
      </w:r>
    </w:p>
    <w:p w14:paraId="17E825A5" w14:textId="77777777" w:rsidR="007A0483" w:rsidRPr="007A0483" w:rsidRDefault="007A0483" w:rsidP="007A0483">
      <w:pPr>
        <w:rPr>
          <w:b/>
          <w:bCs/>
        </w:rPr>
      </w:pPr>
      <w:r w:rsidRPr="007A0483">
        <w:rPr>
          <w:b/>
          <w:bCs/>
        </w:rPr>
        <w:t>Supuestos, Riesgos o Consideraciones Relevantes</w:t>
      </w:r>
    </w:p>
    <w:p w14:paraId="3FF8D86C" w14:textId="77777777" w:rsidR="007A0483" w:rsidRPr="007A0483" w:rsidRDefault="007A0483" w:rsidP="007A0483">
      <w:pPr>
        <w:numPr>
          <w:ilvl w:val="0"/>
          <w:numId w:val="5"/>
        </w:numPr>
      </w:pPr>
      <w:r w:rsidRPr="007A0483">
        <w:rPr>
          <w:b/>
          <w:bCs/>
        </w:rPr>
        <w:t>Riesgo de Reinversión:</w:t>
      </w:r>
      <w:r w:rsidRPr="007A0483">
        <w:t xml:space="preserve"> Dado que son de corto plazo, el inversionista enfrenta el riesgo de que, al vencimiento, las tasas de mercado hayan bajado, dificultando reinvertir el capital con la misma rentabilidad.</w:t>
      </w:r>
    </w:p>
    <w:p w14:paraId="48938AE4" w14:textId="77777777" w:rsidR="007A0483" w:rsidRPr="007A0483" w:rsidRDefault="007A0483" w:rsidP="007A0483">
      <w:pPr>
        <w:numPr>
          <w:ilvl w:val="0"/>
          <w:numId w:val="5"/>
        </w:numPr>
      </w:pPr>
      <w:r w:rsidRPr="007A0483">
        <w:rPr>
          <w:b/>
          <w:bCs/>
        </w:rPr>
        <w:t>Riesgo de Liquidez Anticipada:</w:t>
      </w:r>
      <w:r w:rsidRPr="007A0483">
        <w:t xml:space="preserve"> Si bien son "fijos", una venta antes del vencimiento puede resultar en ganancias o pérdidas de capital dependiendo de si la tasa de mercado subió o bajó respecto a la tasa de compra.</w:t>
      </w:r>
    </w:p>
    <w:p w14:paraId="5F4416A2" w14:textId="77777777" w:rsidR="007A0483" w:rsidRPr="007A0483" w:rsidRDefault="007A0483" w:rsidP="007A0483">
      <w:pPr>
        <w:numPr>
          <w:ilvl w:val="0"/>
          <w:numId w:val="5"/>
        </w:numPr>
      </w:pPr>
      <w:r w:rsidRPr="007A0483">
        <w:rPr>
          <w:b/>
          <w:bCs/>
        </w:rPr>
        <w:t>Riesgo de Emisor:</w:t>
      </w:r>
      <w:r w:rsidRPr="007A0483">
        <w:t xml:space="preserve"> En el caso de los Efectos de Comercio, la rentabilidad depende de la solvencia de la empresa privada emisora.</w:t>
      </w:r>
    </w:p>
    <w:p w14:paraId="52251B78" w14:textId="77777777" w:rsidR="007A0483" w:rsidRPr="007A0483" w:rsidRDefault="007A0483" w:rsidP="007A0483">
      <w:r w:rsidRPr="007A0483">
        <w:pict w14:anchorId="5C028CDD">
          <v:rect id="_x0000_i1066" style="width:0;height:1.5pt" o:hralign="center" o:hrstd="t" o:hr="t" fillcolor="#a0a0a0" stroked="f"/>
        </w:pict>
      </w:r>
    </w:p>
    <w:p w14:paraId="749BA388" w14:textId="77777777" w:rsidR="007A0483" w:rsidRPr="007A0483" w:rsidRDefault="007A0483" w:rsidP="007A0483">
      <w:pPr>
        <w:rPr>
          <w:b/>
          <w:bCs/>
        </w:rPr>
      </w:pPr>
      <w:r w:rsidRPr="007A0483">
        <w:rPr>
          <w:b/>
          <w:bCs/>
        </w:rPr>
        <w:t>Puntos a Aclarar o Información Faltante</w:t>
      </w:r>
    </w:p>
    <w:p w14:paraId="11DD898D" w14:textId="77777777" w:rsidR="007A0483" w:rsidRPr="007A0483" w:rsidRDefault="007A0483" w:rsidP="007A0483">
      <w:pPr>
        <w:numPr>
          <w:ilvl w:val="0"/>
          <w:numId w:val="6"/>
        </w:numPr>
      </w:pPr>
      <w:r w:rsidRPr="007A0483">
        <w:rPr>
          <w:b/>
          <w:bCs/>
        </w:rPr>
        <w:t>Unidades de Reajuste:</w:t>
      </w:r>
      <w:r w:rsidRPr="007A0483">
        <w:t xml:space="preserve"> El texto menciona instrumentos "reajustables", pero no especifica si la unidad de cuenta es exclusivamente la UF o si existen otras (como el tipo de cambio).</w:t>
      </w:r>
    </w:p>
    <w:p w14:paraId="7AF2A47C" w14:textId="77777777" w:rsidR="007A0483" w:rsidRPr="007A0483" w:rsidRDefault="007A0483" w:rsidP="007A0483">
      <w:pPr>
        <w:numPr>
          <w:ilvl w:val="0"/>
          <w:numId w:val="6"/>
        </w:numPr>
      </w:pPr>
      <w:r w:rsidRPr="007A0483">
        <w:rPr>
          <w:b/>
          <w:bCs/>
        </w:rPr>
        <w:t>Montos Mínimos:</w:t>
      </w:r>
      <w:r w:rsidRPr="007A0483">
        <w:t xml:space="preserve"> No se detalla si existen barreras de entrada en términos de montos para acceder a instrumentos como los PDBC o PRBC.</w:t>
      </w:r>
    </w:p>
    <w:p w14:paraId="499D2713" w14:textId="77777777" w:rsidR="007A0483" w:rsidRPr="007A0483" w:rsidRDefault="007A0483" w:rsidP="007A0483">
      <w:pPr>
        <w:numPr>
          <w:ilvl w:val="0"/>
          <w:numId w:val="6"/>
        </w:numPr>
      </w:pPr>
      <w:r w:rsidRPr="007A0483">
        <w:rPr>
          <w:b/>
          <w:bCs/>
        </w:rPr>
        <w:t>Periodicidad de Emisión:</w:t>
      </w:r>
      <w:r w:rsidRPr="007A0483">
        <w:t xml:space="preserve"> No se especifica si estos instrumentos se emiten mediante subastas periódicas o si están disponibles de forma continua para el público general.</w:t>
      </w:r>
    </w:p>
    <w:p w14:paraId="1BACB42E" w14:textId="77777777" w:rsidR="000D1EDE" w:rsidRPr="007A0483" w:rsidRDefault="000D1EDE" w:rsidP="007A0483"/>
    <w:sectPr w:rsidR="000D1EDE" w:rsidRPr="007A048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B299D"/>
    <w:multiLevelType w:val="multilevel"/>
    <w:tmpl w:val="353A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942FD3"/>
    <w:multiLevelType w:val="multilevel"/>
    <w:tmpl w:val="0148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BB6DCC"/>
    <w:multiLevelType w:val="multilevel"/>
    <w:tmpl w:val="F72A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232824"/>
    <w:multiLevelType w:val="multilevel"/>
    <w:tmpl w:val="67B05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997BE3"/>
    <w:multiLevelType w:val="multilevel"/>
    <w:tmpl w:val="0CDE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6E3D66"/>
    <w:multiLevelType w:val="multilevel"/>
    <w:tmpl w:val="69D4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509371">
    <w:abstractNumId w:val="1"/>
  </w:num>
  <w:num w:numId="2" w16cid:durableId="1437598739">
    <w:abstractNumId w:val="3"/>
  </w:num>
  <w:num w:numId="3" w16cid:durableId="1330520859">
    <w:abstractNumId w:val="5"/>
  </w:num>
  <w:num w:numId="4" w16cid:durableId="857813716">
    <w:abstractNumId w:val="4"/>
  </w:num>
  <w:num w:numId="5" w16cid:durableId="1901791397">
    <w:abstractNumId w:val="0"/>
  </w:num>
  <w:num w:numId="6" w16cid:durableId="1558762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61B"/>
    <w:rsid w:val="00071C90"/>
    <w:rsid w:val="000D1EDE"/>
    <w:rsid w:val="00320D26"/>
    <w:rsid w:val="00414AB1"/>
    <w:rsid w:val="006473F9"/>
    <w:rsid w:val="00736F93"/>
    <w:rsid w:val="007A0483"/>
    <w:rsid w:val="0088661B"/>
    <w:rsid w:val="0096328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DC8A9"/>
  <w15:chartTrackingRefBased/>
  <w15:docId w15:val="{36BDFFAF-3F05-472C-88E1-D738FA82D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866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866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866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866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866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866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66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66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66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661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866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866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866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8661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866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66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66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661B"/>
    <w:rPr>
      <w:rFonts w:eastAsiaTheme="majorEastAsia" w:cstheme="majorBidi"/>
      <w:color w:val="272727" w:themeColor="text1" w:themeTint="D8"/>
    </w:rPr>
  </w:style>
  <w:style w:type="paragraph" w:styleId="Ttulo">
    <w:name w:val="Title"/>
    <w:basedOn w:val="Normal"/>
    <w:next w:val="Normal"/>
    <w:link w:val="TtuloCar"/>
    <w:uiPriority w:val="10"/>
    <w:qFormat/>
    <w:rsid w:val="008866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66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66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66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661B"/>
    <w:pPr>
      <w:spacing w:before="160"/>
      <w:jc w:val="center"/>
    </w:pPr>
    <w:rPr>
      <w:i/>
      <w:iCs/>
      <w:color w:val="404040" w:themeColor="text1" w:themeTint="BF"/>
    </w:rPr>
  </w:style>
  <w:style w:type="character" w:customStyle="1" w:styleId="CitaCar">
    <w:name w:val="Cita Car"/>
    <w:basedOn w:val="Fuentedeprrafopredeter"/>
    <w:link w:val="Cita"/>
    <w:uiPriority w:val="29"/>
    <w:rsid w:val="0088661B"/>
    <w:rPr>
      <w:i/>
      <w:iCs/>
      <w:color w:val="404040" w:themeColor="text1" w:themeTint="BF"/>
    </w:rPr>
  </w:style>
  <w:style w:type="paragraph" w:styleId="Prrafodelista">
    <w:name w:val="List Paragraph"/>
    <w:basedOn w:val="Normal"/>
    <w:uiPriority w:val="34"/>
    <w:qFormat/>
    <w:rsid w:val="0088661B"/>
    <w:pPr>
      <w:ind w:left="720"/>
      <w:contextualSpacing/>
    </w:pPr>
  </w:style>
  <w:style w:type="character" w:styleId="nfasisintenso">
    <w:name w:val="Intense Emphasis"/>
    <w:basedOn w:val="Fuentedeprrafopredeter"/>
    <w:uiPriority w:val="21"/>
    <w:qFormat/>
    <w:rsid w:val="0088661B"/>
    <w:rPr>
      <w:i/>
      <w:iCs/>
      <w:color w:val="0F4761" w:themeColor="accent1" w:themeShade="BF"/>
    </w:rPr>
  </w:style>
  <w:style w:type="paragraph" w:styleId="Citadestacada">
    <w:name w:val="Intense Quote"/>
    <w:basedOn w:val="Normal"/>
    <w:next w:val="Normal"/>
    <w:link w:val="CitadestacadaCar"/>
    <w:uiPriority w:val="30"/>
    <w:qFormat/>
    <w:rsid w:val="008866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8661B"/>
    <w:rPr>
      <w:i/>
      <w:iCs/>
      <w:color w:val="0F4761" w:themeColor="accent1" w:themeShade="BF"/>
    </w:rPr>
  </w:style>
  <w:style w:type="character" w:styleId="Referenciaintensa">
    <w:name w:val="Intense Reference"/>
    <w:basedOn w:val="Fuentedeprrafopredeter"/>
    <w:uiPriority w:val="32"/>
    <w:qFormat/>
    <w:rsid w:val="008866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715</Words>
  <Characters>3934</Characters>
  <Application>Microsoft Office Word</Application>
  <DocSecurity>0</DocSecurity>
  <Lines>32</Lines>
  <Paragraphs>9</Paragraphs>
  <ScaleCrop>false</ScaleCrop>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MOREIRA ITURRIETA YOHAN A</dc:creator>
  <cp:keywords/>
  <dc:description/>
  <cp:lastModifiedBy>MOREIRA ITURRIETA YOHAN A</cp:lastModifiedBy>
  <cp:revision>2</cp:revision>
  <dcterms:created xsi:type="dcterms:W3CDTF">2026-05-06T22:40:00Z</dcterms:created>
  <dcterms:modified xsi:type="dcterms:W3CDTF">2026-05-06T22:40:00Z</dcterms:modified>
</cp:coreProperties>
</file>