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2DE19" w14:textId="77777777" w:rsidR="001F2144" w:rsidRPr="001F2144" w:rsidRDefault="001F2144" w:rsidP="001F2144">
      <w:pPr>
        <w:rPr>
          <w:b/>
          <w:bCs/>
        </w:rPr>
      </w:pPr>
      <w:r w:rsidRPr="001F2144">
        <w:rPr>
          <w:b/>
          <w:bCs/>
        </w:rPr>
        <w:t>Instrumentos Monetarios: Oro, Plata y Dólar Estadounidense</w:t>
      </w:r>
    </w:p>
    <w:p w14:paraId="7A6F55B2" w14:textId="77777777" w:rsidR="001F2144" w:rsidRPr="001F2144" w:rsidRDefault="001F2144" w:rsidP="001F2144">
      <w:pPr>
        <w:rPr>
          <w:b/>
          <w:bCs/>
        </w:rPr>
      </w:pPr>
      <w:r w:rsidRPr="001F2144">
        <w:rPr>
          <w:b/>
          <w:bCs/>
        </w:rPr>
        <w:t>Resumen ejecutivo</w:t>
      </w:r>
    </w:p>
    <w:p w14:paraId="1C378E18" w14:textId="77777777" w:rsidR="001F2144" w:rsidRPr="001F2144" w:rsidRDefault="001F2144" w:rsidP="001F2144">
      <w:r w:rsidRPr="001F2144">
        <w:t>Los instrumentos monetarios constituyen una categoría de inversión que integra metales preciosos (oro y plata) y divisa extranjera (dólar estadounidense). Mientras los metales son valorados por su carácter intrínseco y calidad acuñada por el Banco Central de Chile, el dólar destaca por su liquidez global y estabilidad. Estos instrumentos son accesibles para todo tipo de inversionistas, operando tanto en mercados bursátiles como extrabursátiles. Su rentabilidad depende de la conservación física en los metales y de la estabilidad económica global en el caso de la divisa.</w:t>
      </w:r>
    </w:p>
    <w:p w14:paraId="1A52EF16" w14:textId="77777777" w:rsidR="001F2144" w:rsidRPr="001F2144" w:rsidRDefault="001F2144" w:rsidP="001F2144">
      <w:r w:rsidRPr="001F2144">
        <w:pict w14:anchorId="4C526391">
          <v:rect id="_x0000_i1049" style="width:0;height:1.5pt" o:hralign="center" o:hrstd="t" o:hr="t" fillcolor="#a0a0a0" stroked="f"/>
        </w:pict>
      </w:r>
    </w:p>
    <w:p w14:paraId="7AAAD397" w14:textId="77777777" w:rsidR="001F2144" w:rsidRPr="001F2144" w:rsidRDefault="001F2144" w:rsidP="001F2144">
      <w:pPr>
        <w:rPr>
          <w:b/>
          <w:bCs/>
        </w:rPr>
      </w:pPr>
      <w:r w:rsidRPr="001F2144">
        <w:rPr>
          <w:b/>
          <w:bCs/>
        </w:rPr>
        <w:t>Contexto / Antecedentes</w:t>
      </w:r>
    </w:p>
    <w:p w14:paraId="06843554" w14:textId="77777777" w:rsidR="001F2144" w:rsidRPr="001F2144" w:rsidRDefault="001F2144" w:rsidP="001F2144">
      <w:r w:rsidRPr="001F2144">
        <w:t>En el mercado de capitales, los instrumentos monetarios actúan como refugio de valor y herramientas de liquidez. El oro y la plata acuñados se consideran activos con valor propio, mientras que el dólar de EE. UU. es la moneda de reserva predominante. Su transaccionalidad está permitida para el público general, requiriendo intermediación especializada (corredores) para operaciones en Bolsa y agentes bancarios para operaciones externas.</w:t>
      </w:r>
    </w:p>
    <w:p w14:paraId="18FE9988" w14:textId="77777777" w:rsidR="001F2144" w:rsidRPr="001F2144" w:rsidRDefault="001F2144" w:rsidP="001F2144">
      <w:r w:rsidRPr="001F2144">
        <w:pict w14:anchorId="0FC28ED1">
          <v:rect id="_x0000_i1050" style="width:0;height:1.5pt" o:hralign="center" o:hrstd="t" o:hr="t" fillcolor="#a0a0a0" stroked="f"/>
        </w:pict>
      </w:r>
    </w:p>
    <w:p w14:paraId="7A54AADA" w14:textId="77777777" w:rsidR="001F2144" w:rsidRPr="001F2144" w:rsidRDefault="001F2144" w:rsidP="001F2144">
      <w:pPr>
        <w:rPr>
          <w:b/>
          <w:bCs/>
        </w:rPr>
      </w:pPr>
      <w:r w:rsidRPr="001F2144">
        <w:rPr>
          <w:b/>
          <w:bCs/>
        </w:rPr>
        <w:t>Desarrollo del contenido</w:t>
      </w:r>
    </w:p>
    <w:p w14:paraId="1D2B7318" w14:textId="77777777" w:rsidR="001F2144" w:rsidRPr="001F2144" w:rsidRDefault="001F2144" w:rsidP="001F2144">
      <w:pPr>
        <w:rPr>
          <w:b/>
          <w:bCs/>
        </w:rPr>
      </w:pPr>
      <w:r w:rsidRPr="001F2144">
        <w:rPr>
          <w:b/>
          <w:bCs/>
        </w:rPr>
        <w:t>Sección 1: Metales Preciosos (Oro y Plata)</w:t>
      </w:r>
    </w:p>
    <w:p w14:paraId="26EB29F9" w14:textId="77777777" w:rsidR="001F2144" w:rsidRPr="001F2144" w:rsidRDefault="001F2144" w:rsidP="001F2144">
      <w:r w:rsidRPr="001F2144">
        <w:t xml:space="preserve">El oro y la plata se consideran instrumentos con </w:t>
      </w:r>
      <w:r w:rsidRPr="001F2144">
        <w:rPr>
          <w:b/>
          <w:bCs/>
        </w:rPr>
        <w:t>valor intrínseco</w:t>
      </w:r>
      <w:r w:rsidRPr="001F2144">
        <w:t xml:space="preserve"> y de inversión, bajo el respaldo del Banco Central de Chile.</w:t>
      </w:r>
    </w:p>
    <w:p w14:paraId="26B60F86" w14:textId="77777777" w:rsidR="001F2144" w:rsidRPr="001F2144" w:rsidRDefault="001F2144" w:rsidP="001F2144">
      <w:pPr>
        <w:numPr>
          <w:ilvl w:val="0"/>
          <w:numId w:val="1"/>
        </w:numPr>
      </w:pPr>
      <w:r w:rsidRPr="001F2144">
        <w:rPr>
          <w:b/>
          <w:bCs/>
        </w:rPr>
        <w:t>Formatos de Transacción:</w:t>
      </w:r>
    </w:p>
    <w:p w14:paraId="317E47E5" w14:textId="77777777" w:rsidR="001F2144" w:rsidRPr="001F2144" w:rsidRDefault="001F2144" w:rsidP="001F2144">
      <w:pPr>
        <w:numPr>
          <w:ilvl w:val="1"/>
          <w:numId w:val="1"/>
        </w:numPr>
      </w:pPr>
      <w:r w:rsidRPr="001F2144">
        <w:t>Monedas acuñadas.</w:t>
      </w:r>
    </w:p>
    <w:p w14:paraId="5498E937" w14:textId="77777777" w:rsidR="001F2144" w:rsidRPr="001F2144" w:rsidRDefault="001F2144" w:rsidP="001F2144">
      <w:pPr>
        <w:numPr>
          <w:ilvl w:val="1"/>
          <w:numId w:val="1"/>
        </w:numPr>
      </w:pPr>
      <w:r w:rsidRPr="001F2144">
        <w:t>Cospeles (discos de metal).</w:t>
      </w:r>
    </w:p>
    <w:p w14:paraId="0937D8B2" w14:textId="77777777" w:rsidR="001F2144" w:rsidRPr="001F2144" w:rsidRDefault="001F2144" w:rsidP="001F2144">
      <w:pPr>
        <w:numPr>
          <w:ilvl w:val="1"/>
          <w:numId w:val="1"/>
        </w:numPr>
      </w:pPr>
      <w:r w:rsidRPr="001F2144">
        <w:t>Onzas troy.</w:t>
      </w:r>
    </w:p>
    <w:p w14:paraId="3E80E5DA" w14:textId="77777777" w:rsidR="001F2144" w:rsidRPr="001F2144" w:rsidRDefault="001F2144" w:rsidP="001F2144">
      <w:pPr>
        <w:numPr>
          <w:ilvl w:val="0"/>
          <w:numId w:val="1"/>
        </w:numPr>
      </w:pPr>
      <w:r w:rsidRPr="001F2144">
        <w:rPr>
          <w:b/>
          <w:bCs/>
        </w:rPr>
        <w:t>Clasificación de Calidad Física:</w:t>
      </w:r>
    </w:p>
    <w:p w14:paraId="71FEB715" w14:textId="77777777" w:rsidR="001F2144" w:rsidRPr="001F2144" w:rsidRDefault="001F2144" w:rsidP="001F2144">
      <w:r w:rsidRPr="001F2144">
        <w:t>El precio varía significativamente según el estado de conservación: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5376"/>
        <w:gridCol w:w="1834"/>
      </w:tblGrid>
      <w:tr w:rsidR="001F2144" w:rsidRPr="001F2144" w14:paraId="26F052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28721" w14:textId="77777777" w:rsidR="001F2144" w:rsidRPr="001F2144" w:rsidRDefault="001F2144" w:rsidP="001F2144">
            <w:r w:rsidRPr="001F2144">
              <w:rPr>
                <w:b/>
                <w:bCs/>
              </w:rPr>
              <w:lastRenderedPageBreak/>
              <w:t>Estado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6E968" w14:textId="77777777" w:rsidR="001F2144" w:rsidRPr="001F2144" w:rsidRDefault="001F2144" w:rsidP="001F2144">
            <w:r w:rsidRPr="001F2144">
              <w:rPr>
                <w:b/>
                <w:bCs/>
              </w:rPr>
              <w:t>Características Visuales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5349E" w14:textId="77777777" w:rsidR="001F2144" w:rsidRPr="001F2144" w:rsidRDefault="001F2144" w:rsidP="001F2144">
            <w:r w:rsidRPr="001F2144">
              <w:rPr>
                <w:b/>
                <w:bCs/>
              </w:rPr>
              <w:t>Aptitud en Bolsa</w:t>
            </w:r>
          </w:p>
        </w:tc>
      </w:tr>
      <w:tr w:rsidR="001F2144" w:rsidRPr="001F2144" w14:paraId="3E0B49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8EC006" w14:textId="77777777" w:rsidR="001F2144" w:rsidRPr="001F2144" w:rsidRDefault="001F2144" w:rsidP="001F2144">
            <w:r w:rsidRPr="001F2144">
              <w:rPr>
                <w:b/>
                <w:bCs/>
              </w:rPr>
              <w:t>No Defectuosa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9A14A" w14:textId="77777777" w:rsidR="001F2144" w:rsidRPr="001F2144" w:rsidRDefault="001F2144" w:rsidP="001F2144">
            <w:r w:rsidRPr="001F2144">
              <w:t>Sin puntos, cantos perfectos, sin rayas ni limaduras.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D5824" w14:textId="77777777" w:rsidR="001F2144" w:rsidRPr="001F2144" w:rsidRDefault="001F2144" w:rsidP="001F2144">
            <w:r w:rsidRPr="001F2144">
              <w:t>Sí</w:t>
            </w:r>
          </w:p>
        </w:tc>
      </w:tr>
      <w:tr w:rsidR="001F2144" w:rsidRPr="001F2144" w14:paraId="702120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01279E" w14:textId="77777777" w:rsidR="001F2144" w:rsidRPr="001F2144" w:rsidRDefault="001F2144" w:rsidP="001F2144">
            <w:r w:rsidRPr="001F2144">
              <w:rPr>
                <w:b/>
                <w:bCs/>
              </w:rPr>
              <w:t>Defectuosa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9ADD2" w14:textId="77777777" w:rsidR="001F2144" w:rsidRPr="001F2144" w:rsidRDefault="001F2144" w:rsidP="001F2144">
            <w:r w:rsidRPr="001F2144">
              <w:t>Desgaste notorio en cantos, rayas o limaduras estéticas, trizaduras.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E0777" w14:textId="77777777" w:rsidR="001F2144" w:rsidRPr="001F2144" w:rsidRDefault="001F2144" w:rsidP="001F2144">
            <w:r w:rsidRPr="001F2144">
              <w:t>Sí (Apta para transar)</w:t>
            </w:r>
          </w:p>
        </w:tc>
      </w:tr>
    </w:tbl>
    <w:p w14:paraId="41DDE2D4" w14:textId="77777777" w:rsidR="001F2144" w:rsidRPr="001F2144" w:rsidRDefault="001F2144" w:rsidP="001F2144">
      <w:pPr>
        <w:numPr>
          <w:ilvl w:val="0"/>
          <w:numId w:val="2"/>
        </w:numPr>
      </w:pPr>
      <w:r w:rsidRPr="001F2144">
        <w:rPr>
          <w:b/>
          <w:bCs/>
        </w:rPr>
        <w:t>Manipulación:</w:t>
      </w:r>
      <w:r w:rsidRPr="001F2144">
        <w:t xml:space="preserve"> Se advierte que una manipulación inadecuada puede generar defectos físicos que reduzcan el valor de mercado del instrumento.</w:t>
      </w:r>
    </w:p>
    <w:p w14:paraId="7853BACD" w14:textId="77777777" w:rsidR="001F2144" w:rsidRPr="001F2144" w:rsidRDefault="001F2144" w:rsidP="001F2144">
      <w:pPr>
        <w:rPr>
          <w:b/>
          <w:bCs/>
        </w:rPr>
      </w:pPr>
      <w:r w:rsidRPr="001F2144">
        <w:rPr>
          <w:b/>
          <w:bCs/>
        </w:rPr>
        <w:t>Sección 2: Divisa Extranjera (Dólar de EE. UU.)</w:t>
      </w:r>
    </w:p>
    <w:p w14:paraId="3F3237DE" w14:textId="77777777" w:rsidR="001F2144" w:rsidRPr="001F2144" w:rsidRDefault="001F2144" w:rsidP="001F2144">
      <w:r w:rsidRPr="001F2144">
        <w:t>El dólar estadounidense se define por su alta liquidez y su función dual en la economía:</w:t>
      </w:r>
    </w:p>
    <w:p w14:paraId="049620FC" w14:textId="77777777" w:rsidR="001F2144" w:rsidRPr="001F2144" w:rsidRDefault="001F2144" w:rsidP="001F2144">
      <w:pPr>
        <w:numPr>
          <w:ilvl w:val="0"/>
          <w:numId w:val="3"/>
        </w:numPr>
      </w:pPr>
      <w:r w:rsidRPr="001F2144">
        <w:rPr>
          <w:b/>
          <w:bCs/>
        </w:rPr>
        <w:t>Motivos de Demanda:</w:t>
      </w:r>
      <w:r w:rsidRPr="001F2144">
        <w:t xml:space="preserve"> Rentabilidad, cobertura de riesgo y calidad como medio de pago.</w:t>
      </w:r>
    </w:p>
    <w:p w14:paraId="0E7C1527" w14:textId="77777777" w:rsidR="001F2144" w:rsidRPr="001F2144" w:rsidRDefault="001F2144" w:rsidP="001F2144">
      <w:pPr>
        <w:numPr>
          <w:ilvl w:val="0"/>
          <w:numId w:val="3"/>
        </w:numPr>
      </w:pPr>
      <w:r w:rsidRPr="001F2144">
        <w:rPr>
          <w:b/>
          <w:bCs/>
        </w:rPr>
        <w:t>Estabilidad:</w:t>
      </w:r>
      <w:r w:rsidRPr="001F2144">
        <w:t xml:space="preserve"> Su aceptación global y la confianza en la economía norteamericana facilitan su compraventa al precio de mercado vigente.</w:t>
      </w:r>
    </w:p>
    <w:p w14:paraId="49443616" w14:textId="77777777" w:rsidR="001F2144" w:rsidRPr="001F2144" w:rsidRDefault="001F2144" w:rsidP="001F2144">
      <w:pPr>
        <w:rPr>
          <w:b/>
          <w:bCs/>
        </w:rPr>
      </w:pPr>
      <w:r w:rsidRPr="001F2144">
        <w:rPr>
          <w:b/>
          <w:bCs/>
        </w:rPr>
        <w:t>Sección 3: Operatividad y Mecanismos de Contratación</w:t>
      </w:r>
    </w:p>
    <w:p w14:paraId="58DBB751" w14:textId="77777777" w:rsidR="001F2144" w:rsidRPr="001F2144" w:rsidRDefault="001F2144" w:rsidP="001F2144">
      <w:r w:rsidRPr="001F2144">
        <w:t>El mercado para estos instrumentos se divide según el entorno de la transacción:</w:t>
      </w:r>
    </w:p>
    <w:p w14:paraId="001489A7" w14:textId="77777777" w:rsidR="001F2144" w:rsidRPr="001F2144" w:rsidRDefault="001F2144" w:rsidP="001F2144">
      <w:pPr>
        <w:numPr>
          <w:ilvl w:val="0"/>
          <w:numId w:val="4"/>
        </w:numPr>
      </w:pPr>
      <w:r w:rsidRPr="001F2144">
        <w:rPr>
          <w:b/>
          <w:bCs/>
        </w:rPr>
        <w:t>En Bolsa:</w:t>
      </w:r>
    </w:p>
    <w:p w14:paraId="2EF17C5F" w14:textId="77777777" w:rsidR="001F2144" w:rsidRPr="001F2144" w:rsidRDefault="001F2144" w:rsidP="001F2144">
      <w:pPr>
        <w:numPr>
          <w:ilvl w:val="1"/>
          <w:numId w:val="4"/>
        </w:numPr>
      </w:pPr>
      <w:r w:rsidRPr="001F2144">
        <w:rPr>
          <w:b/>
          <w:bCs/>
        </w:rPr>
        <w:t>Intermediación:</w:t>
      </w:r>
      <w:r w:rsidRPr="001F2144">
        <w:t xml:space="preserve"> Obligatoria a través de un </w:t>
      </w:r>
      <w:r w:rsidRPr="001F2144">
        <w:rPr>
          <w:b/>
          <w:bCs/>
        </w:rPr>
        <w:t>Corredor de Bolsa</w:t>
      </w:r>
      <w:r w:rsidRPr="001F2144">
        <w:t xml:space="preserve"> (especialmente para dólares autorizados).</w:t>
      </w:r>
    </w:p>
    <w:p w14:paraId="013D24E7" w14:textId="77777777" w:rsidR="001F2144" w:rsidRPr="001F2144" w:rsidRDefault="001F2144" w:rsidP="001F2144">
      <w:pPr>
        <w:numPr>
          <w:ilvl w:val="1"/>
          <w:numId w:val="4"/>
        </w:numPr>
      </w:pPr>
      <w:r w:rsidRPr="001F2144">
        <w:rPr>
          <w:b/>
          <w:bCs/>
        </w:rPr>
        <w:t>Costos:</w:t>
      </w:r>
      <w:r w:rsidRPr="001F2144">
        <w:t xml:space="preserve"> Las operaciones de dólares en bolsa están </w:t>
      </w:r>
      <w:r w:rsidRPr="001F2144">
        <w:rPr>
          <w:b/>
          <w:bCs/>
        </w:rPr>
        <w:t>exentas</w:t>
      </w:r>
      <w:r w:rsidRPr="001F2144">
        <w:t xml:space="preserve"> de derechos de bolsa.</w:t>
      </w:r>
    </w:p>
    <w:p w14:paraId="21BD719C" w14:textId="77777777" w:rsidR="001F2144" w:rsidRPr="001F2144" w:rsidRDefault="001F2144" w:rsidP="001F2144">
      <w:pPr>
        <w:numPr>
          <w:ilvl w:val="0"/>
          <w:numId w:val="4"/>
        </w:numPr>
      </w:pPr>
      <w:r w:rsidRPr="001F2144">
        <w:rPr>
          <w:b/>
          <w:bCs/>
        </w:rPr>
        <w:t>Fuera de Bolsa (OTC):</w:t>
      </w:r>
    </w:p>
    <w:p w14:paraId="7BBC3048" w14:textId="77777777" w:rsidR="001F2144" w:rsidRPr="001F2144" w:rsidRDefault="001F2144" w:rsidP="001F2144">
      <w:pPr>
        <w:numPr>
          <w:ilvl w:val="1"/>
          <w:numId w:val="4"/>
        </w:numPr>
      </w:pPr>
      <w:r w:rsidRPr="001F2144">
        <w:rPr>
          <w:b/>
          <w:bCs/>
        </w:rPr>
        <w:t>Entidades:</w:t>
      </w:r>
      <w:r w:rsidRPr="001F2144">
        <w:t xml:space="preserve"> Bancos y casas de cambio.</w:t>
      </w:r>
    </w:p>
    <w:p w14:paraId="7D9531DA" w14:textId="77777777" w:rsidR="001F2144" w:rsidRPr="001F2144" w:rsidRDefault="001F2144" w:rsidP="001F2144">
      <w:pPr>
        <w:numPr>
          <w:ilvl w:val="1"/>
          <w:numId w:val="4"/>
        </w:numPr>
      </w:pPr>
      <w:r w:rsidRPr="001F2144">
        <w:rPr>
          <w:b/>
          <w:bCs/>
        </w:rPr>
        <w:t>Costos:</w:t>
      </w:r>
      <w:r w:rsidRPr="001F2144">
        <w:t xml:space="preserve"> Existen cobros transaccionales asociados a la compraventa.</w:t>
      </w:r>
    </w:p>
    <w:p w14:paraId="5FA66BCF" w14:textId="77777777" w:rsidR="001F2144" w:rsidRPr="001F2144" w:rsidRDefault="001F2144" w:rsidP="001F2144">
      <w:pPr>
        <w:rPr>
          <w:b/>
          <w:bCs/>
        </w:rPr>
      </w:pPr>
      <w:r w:rsidRPr="001F2144">
        <w:rPr>
          <w:b/>
          <w:bCs/>
        </w:rPr>
        <w:t>Sección 4: Riesgos y Montos Involucrados</w:t>
      </w:r>
    </w:p>
    <w:p w14:paraId="0E82C888" w14:textId="77777777" w:rsidR="001F2144" w:rsidRPr="001F2144" w:rsidRDefault="001F2144" w:rsidP="001F2144">
      <w:pPr>
        <w:numPr>
          <w:ilvl w:val="0"/>
          <w:numId w:val="5"/>
        </w:numPr>
      </w:pPr>
      <w:r w:rsidRPr="001F2144">
        <w:rPr>
          <w:b/>
          <w:bCs/>
        </w:rPr>
        <w:t>Barreras de Entrada:</w:t>
      </w:r>
      <w:r w:rsidRPr="001F2144">
        <w:t xml:space="preserve"> No existen montos mínimos estipulados para negociar monedas de metales preciosos ni dólares.</w:t>
      </w:r>
    </w:p>
    <w:p w14:paraId="4A53C533" w14:textId="77777777" w:rsidR="001F2144" w:rsidRPr="001F2144" w:rsidRDefault="001F2144" w:rsidP="001F2144">
      <w:pPr>
        <w:numPr>
          <w:ilvl w:val="0"/>
          <w:numId w:val="5"/>
        </w:numPr>
      </w:pPr>
      <w:r w:rsidRPr="001F2144">
        <w:rPr>
          <w:b/>
          <w:bCs/>
        </w:rPr>
        <w:t>Riesgos Específicos:</w:t>
      </w:r>
    </w:p>
    <w:p w14:paraId="0AC10D6C" w14:textId="77777777" w:rsidR="001F2144" w:rsidRPr="001F2144" w:rsidRDefault="001F2144" w:rsidP="001F2144">
      <w:pPr>
        <w:numPr>
          <w:ilvl w:val="1"/>
          <w:numId w:val="5"/>
        </w:numPr>
      </w:pPr>
      <w:r w:rsidRPr="001F2144">
        <w:rPr>
          <w:b/>
          <w:bCs/>
        </w:rPr>
        <w:lastRenderedPageBreak/>
        <w:t>Metales:</w:t>
      </w:r>
      <w:r w:rsidRPr="001F2144">
        <w:t xml:space="preserve"> Riesgo de pérdida de valor por deterioro físico.</w:t>
      </w:r>
    </w:p>
    <w:p w14:paraId="2B2C9E2F" w14:textId="77777777" w:rsidR="001F2144" w:rsidRPr="001F2144" w:rsidRDefault="001F2144" w:rsidP="001F2144">
      <w:pPr>
        <w:numPr>
          <w:ilvl w:val="1"/>
          <w:numId w:val="5"/>
        </w:numPr>
      </w:pPr>
      <w:r w:rsidRPr="001F2144">
        <w:rPr>
          <w:b/>
          <w:bCs/>
        </w:rPr>
        <w:t>Dólar:</w:t>
      </w:r>
      <w:r w:rsidRPr="001F2144">
        <w:t xml:space="preserve"> Fluctuaciones de precio por escasez en el mercado local o inestabilidad en la economía mundial/estadounidense.</w:t>
      </w:r>
    </w:p>
    <w:p w14:paraId="69BD4285" w14:textId="77777777" w:rsidR="001F2144" w:rsidRPr="001F2144" w:rsidRDefault="001F2144" w:rsidP="001F2144">
      <w:r w:rsidRPr="001F2144">
        <w:pict w14:anchorId="35ED92F0">
          <v:rect id="_x0000_i1051" style="width:0;height:1.5pt" o:hralign="center" o:hrstd="t" o:hr="t" fillcolor="#a0a0a0" stroked="f"/>
        </w:pict>
      </w:r>
    </w:p>
    <w:p w14:paraId="1CADD32B" w14:textId="77777777" w:rsidR="001F2144" w:rsidRPr="001F2144" w:rsidRDefault="001F2144" w:rsidP="001F2144">
      <w:pPr>
        <w:rPr>
          <w:b/>
          <w:bCs/>
        </w:rPr>
      </w:pPr>
      <w:r w:rsidRPr="001F2144">
        <w:rPr>
          <w:b/>
          <w:bCs/>
        </w:rPr>
        <w:t>Conclusiones o ideas clave</w:t>
      </w:r>
    </w:p>
    <w:p w14:paraId="538ACCD8" w14:textId="77777777" w:rsidR="001F2144" w:rsidRPr="001F2144" w:rsidRDefault="001F2144" w:rsidP="001F2144">
      <w:pPr>
        <w:numPr>
          <w:ilvl w:val="0"/>
          <w:numId w:val="6"/>
        </w:numPr>
      </w:pPr>
      <w:r w:rsidRPr="001F2144">
        <w:rPr>
          <w:b/>
          <w:bCs/>
        </w:rPr>
        <w:t>Accesibilidad Total:</w:t>
      </w:r>
      <w:r w:rsidRPr="001F2144">
        <w:t xml:space="preserve"> Es una categoría sin montos mínimos, permitiendo la entrada a inversionistas minoristas.</w:t>
      </w:r>
    </w:p>
    <w:p w14:paraId="0EE16B77" w14:textId="77777777" w:rsidR="001F2144" w:rsidRPr="001F2144" w:rsidRDefault="001F2144" w:rsidP="001F2144">
      <w:pPr>
        <w:numPr>
          <w:ilvl w:val="0"/>
          <w:numId w:val="6"/>
        </w:numPr>
      </w:pPr>
      <w:r w:rsidRPr="001F2144">
        <w:rPr>
          <w:b/>
          <w:bCs/>
        </w:rPr>
        <w:t>Dualidad de Valor:</w:t>
      </w:r>
      <w:r w:rsidRPr="001F2144">
        <w:t xml:space="preserve"> Combina la seguridad física de los metales con la liquidez operativa de la divisa.</w:t>
      </w:r>
    </w:p>
    <w:p w14:paraId="78E46468" w14:textId="77777777" w:rsidR="001F2144" w:rsidRPr="001F2144" w:rsidRDefault="001F2144" w:rsidP="001F2144">
      <w:pPr>
        <w:numPr>
          <w:ilvl w:val="0"/>
          <w:numId w:val="6"/>
        </w:numPr>
      </w:pPr>
      <w:r w:rsidRPr="001F2144">
        <w:rPr>
          <w:b/>
          <w:bCs/>
        </w:rPr>
        <w:t>Exención de Derechos:</w:t>
      </w:r>
      <w:r w:rsidRPr="001F2144">
        <w:t xml:space="preserve"> La inversión en dólares vía Bolsa presenta una ventaja comparativa en costos al estar exenta de derechos de bolsa.</w:t>
      </w:r>
    </w:p>
    <w:p w14:paraId="6CECE21D" w14:textId="77777777" w:rsidR="001F2144" w:rsidRPr="001F2144" w:rsidRDefault="001F2144" w:rsidP="001F2144">
      <w:r w:rsidRPr="001F2144">
        <w:pict w14:anchorId="762ABEB3">
          <v:rect id="_x0000_i1052" style="width:0;height:1.5pt" o:hralign="center" o:hrstd="t" o:hr="t" fillcolor="#a0a0a0" stroked="f"/>
        </w:pict>
      </w:r>
    </w:p>
    <w:p w14:paraId="56AB67F2" w14:textId="77777777" w:rsidR="001F2144" w:rsidRPr="001F2144" w:rsidRDefault="001F2144" w:rsidP="001F2144">
      <w:pPr>
        <w:rPr>
          <w:b/>
          <w:bCs/>
        </w:rPr>
      </w:pPr>
      <w:r w:rsidRPr="001F2144">
        <w:rPr>
          <w:b/>
          <w:bCs/>
        </w:rPr>
        <w:t>Puntos a aclarar / información faltante</w:t>
      </w:r>
    </w:p>
    <w:p w14:paraId="08BFA109" w14:textId="77777777" w:rsidR="001F2144" w:rsidRPr="001F2144" w:rsidRDefault="001F2144" w:rsidP="001F2144">
      <w:pPr>
        <w:numPr>
          <w:ilvl w:val="0"/>
          <w:numId w:val="7"/>
        </w:numPr>
      </w:pPr>
      <w:r w:rsidRPr="001F2144">
        <w:rPr>
          <w:b/>
          <w:bCs/>
        </w:rPr>
        <w:t>Límites de "Defectuosa":</w:t>
      </w:r>
      <w:r w:rsidRPr="001F2144">
        <w:t xml:space="preserve"> No se especifica en qué punto una moneda deja de ser "apta para transarse en Bolsa" debido a daños extremos.</w:t>
      </w:r>
    </w:p>
    <w:p w14:paraId="3A917BE2" w14:textId="77777777" w:rsidR="001F2144" w:rsidRPr="001F2144" w:rsidRDefault="001F2144" w:rsidP="001F2144">
      <w:pPr>
        <w:numPr>
          <w:ilvl w:val="0"/>
          <w:numId w:val="7"/>
        </w:numPr>
      </w:pPr>
      <w:r w:rsidRPr="001F2144">
        <w:rPr>
          <w:b/>
          <w:bCs/>
        </w:rPr>
        <w:t>Regulación de Casas de Cambio:</w:t>
      </w:r>
      <w:r w:rsidRPr="001F2144">
        <w:t xml:space="preserve"> El texto menciona su participación fuera de bolsa, pero no detalla si están sujetas a la misma fiscalización que los corredores autorizados.</w:t>
      </w:r>
    </w:p>
    <w:p w14:paraId="7A4A6DFB" w14:textId="77777777" w:rsidR="001F2144" w:rsidRPr="001F2144" w:rsidRDefault="001F2144" w:rsidP="001F2144">
      <w:pPr>
        <w:numPr>
          <w:ilvl w:val="0"/>
          <w:numId w:val="7"/>
        </w:numPr>
      </w:pPr>
      <w:r w:rsidRPr="001F2144">
        <w:rPr>
          <w:b/>
          <w:bCs/>
        </w:rPr>
        <w:t>Impuestos:</w:t>
      </w:r>
      <w:r w:rsidRPr="001F2144">
        <w:t xml:space="preserve"> No se hace referencia al tratamiento tributario (IVA o impuesto a la renta) sobre las utilidades generadas por la diferencia de precio en estos instrumentos.</w:t>
      </w:r>
    </w:p>
    <w:p w14:paraId="3DA4114C" w14:textId="77777777" w:rsidR="000D1EDE" w:rsidRPr="001F2144" w:rsidRDefault="000D1EDE" w:rsidP="001F2144"/>
    <w:sectPr w:rsidR="000D1EDE" w:rsidRPr="001F21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4D3B"/>
    <w:multiLevelType w:val="multilevel"/>
    <w:tmpl w:val="41420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D1D4E"/>
    <w:multiLevelType w:val="multilevel"/>
    <w:tmpl w:val="FB06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16442"/>
    <w:multiLevelType w:val="multilevel"/>
    <w:tmpl w:val="EEC8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92591"/>
    <w:multiLevelType w:val="multilevel"/>
    <w:tmpl w:val="E4206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36A24"/>
    <w:multiLevelType w:val="multilevel"/>
    <w:tmpl w:val="7636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41719"/>
    <w:multiLevelType w:val="multilevel"/>
    <w:tmpl w:val="BD0E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50A90"/>
    <w:multiLevelType w:val="multilevel"/>
    <w:tmpl w:val="BD284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197742">
    <w:abstractNumId w:val="0"/>
  </w:num>
  <w:num w:numId="2" w16cid:durableId="1120950784">
    <w:abstractNumId w:val="1"/>
  </w:num>
  <w:num w:numId="3" w16cid:durableId="1990085342">
    <w:abstractNumId w:val="5"/>
  </w:num>
  <w:num w:numId="4" w16cid:durableId="388848239">
    <w:abstractNumId w:val="6"/>
  </w:num>
  <w:num w:numId="5" w16cid:durableId="1720856312">
    <w:abstractNumId w:val="3"/>
  </w:num>
  <w:num w:numId="6" w16cid:durableId="1849177253">
    <w:abstractNumId w:val="2"/>
  </w:num>
  <w:num w:numId="7" w16cid:durableId="52697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24"/>
    <w:rsid w:val="00071C90"/>
    <w:rsid w:val="000D1EDE"/>
    <w:rsid w:val="001F2144"/>
    <w:rsid w:val="00320D26"/>
    <w:rsid w:val="00373E24"/>
    <w:rsid w:val="00414AB1"/>
    <w:rsid w:val="006473F9"/>
    <w:rsid w:val="00736F93"/>
    <w:rsid w:val="007B6E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7B76B"/>
  <w15:chartTrackingRefBased/>
  <w15:docId w15:val="{5A33BEF2-F80F-453E-B5C3-A3925FA2F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3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3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3E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3E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3E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3E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3E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3E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3E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3E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3E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3E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3E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3E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3E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3E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3E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3E24"/>
    <w:rPr>
      <w:rFonts w:eastAsiaTheme="majorEastAsia" w:cstheme="majorBidi"/>
      <w:color w:val="272727" w:themeColor="text1" w:themeTint="D8"/>
    </w:rPr>
  </w:style>
  <w:style w:type="paragraph" w:styleId="Ttulo">
    <w:name w:val="Title"/>
    <w:basedOn w:val="Normal"/>
    <w:next w:val="Normal"/>
    <w:link w:val="TtuloCar"/>
    <w:uiPriority w:val="10"/>
    <w:qFormat/>
    <w:rsid w:val="00373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3E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3E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3E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3E24"/>
    <w:pPr>
      <w:spacing w:before="160"/>
      <w:jc w:val="center"/>
    </w:pPr>
    <w:rPr>
      <w:i/>
      <w:iCs/>
      <w:color w:val="404040" w:themeColor="text1" w:themeTint="BF"/>
    </w:rPr>
  </w:style>
  <w:style w:type="character" w:customStyle="1" w:styleId="CitaCar">
    <w:name w:val="Cita Car"/>
    <w:basedOn w:val="Fuentedeprrafopredeter"/>
    <w:link w:val="Cita"/>
    <w:uiPriority w:val="29"/>
    <w:rsid w:val="00373E24"/>
    <w:rPr>
      <w:i/>
      <w:iCs/>
      <w:color w:val="404040" w:themeColor="text1" w:themeTint="BF"/>
    </w:rPr>
  </w:style>
  <w:style w:type="paragraph" w:styleId="Prrafodelista">
    <w:name w:val="List Paragraph"/>
    <w:basedOn w:val="Normal"/>
    <w:uiPriority w:val="34"/>
    <w:qFormat/>
    <w:rsid w:val="00373E24"/>
    <w:pPr>
      <w:ind w:left="720"/>
      <w:contextualSpacing/>
    </w:pPr>
  </w:style>
  <w:style w:type="character" w:styleId="nfasisintenso">
    <w:name w:val="Intense Emphasis"/>
    <w:basedOn w:val="Fuentedeprrafopredeter"/>
    <w:uiPriority w:val="21"/>
    <w:qFormat/>
    <w:rsid w:val="00373E24"/>
    <w:rPr>
      <w:i/>
      <w:iCs/>
      <w:color w:val="0F4761" w:themeColor="accent1" w:themeShade="BF"/>
    </w:rPr>
  </w:style>
  <w:style w:type="paragraph" w:styleId="Citadestacada">
    <w:name w:val="Intense Quote"/>
    <w:basedOn w:val="Normal"/>
    <w:next w:val="Normal"/>
    <w:link w:val="CitadestacadaCar"/>
    <w:uiPriority w:val="30"/>
    <w:qFormat/>
    <w:rsid w:val="00373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3E24"/>
    <w:rPr>
      <w:i/>
      <w:iCs/>
      <w:color w:val="0F4761" w:themeColor="accent1" w:themeShade="BF"/>
    </w:rPr>
  </w:style>
  <w:style w:type="character" w:styleId="Referenciaintensa">
    <w:name w:val="Intense Reference"/>
    <w:basedOn w:val="Fuentedeprrafopredeter"/>
    <w:uiPriority w:val="32"/>
    <w:qFormat/>
    <w:rsid w:val="00373E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603</Words>
  <Characters>3317</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2026-05-06T23:42:00Z</dcterms:created>
  <dcterms:modified xsi:type="dcterms:W3CDTF">2026-05-06T23:42:00Z</dcterms:modified>
</cp:coreProperties>
</file>