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892B" w14:textId="77777777" w:rsidR="00C626A7" w:rsidRPr="00C626A7" w:rsidRDefault="00C626A7" w:rsidP="00C626A7">
      <w:pPr>
        <w:rPr>
          <w:b/>
          <w:bCs/>
        </w:rPr>
      </w:pPr>
      <w:r w:rsidRPr="00C626A7">
        <w:rPr>
          <w:b/>
          <w:bCs/>
        </w:rPr>
        <w:t>Definición y Clasificación del Inversionista Calificado</w:t>
      </w:r>
    </w:p>
    <w:p w14:paraId="2B1AF81C" w14:textId="77777777" w:rsidR="00C626A7" w:rsidRPr="00C626A7" w:rsidRDefault="00C626A7" w:rsidP="00C626A7">
      <w:pPr>
        <w:rPr>
          <w:b/>
          <w:bCs/>
        </w:rPr>
      </w:pPr>
      <w:r w:rsidRPr="00C626A7">
        <w:rPr>
          <w:b/>
          <w:bCs/>
        </w:rPr>
        <w:t>Resumen Ejecutivo</w:t>
      </w:r>
    </w:p>
    <w:p w14:paraId="44AD1A92" w14:textId="77777777" w:rsidR="00C626A7" w:rsidRPr="00C626A7" w:rsidRDefault="00C626A7" w:rsidP="00C626A7">
      <w:r w:rsidRPr="00C626A7">
        <w:t xml:space="preserve">El concepto de </w:t>
      </w:r>
      <w:r w:rsidRPr="00C626A7">
        <w:rPr>
          <w:b/>
          <w:bCs/>
        </w:rPr>
        <w:t>Inversionista Calificado</w:t>
      </w:r>
      <w:r w:rsidRPr="00C626A7">
        <w:t xml:space="preserve"> es una categoría regulatoria diseñada para identificar a personas y entidades que poseen el patrimonio, la experiencia o la sofisticación técnica necesaria para operar en mercados de mayor complejidad y riesgo. Esta clasificación permite el acceso a instrumentos financieros y fondos (como ciertos fondos de inversión privados) que no están disponibles para el público general, bajo la premisa de que estos actores cuentan con la capacidad para evaluar y absorber los riesgos asociados sin requerir los mismos niveles de protección que un inversionista minorista.</w:t>
      </w:r>
    </w:p>
    <w:p w14:paraId="3FE1290F" w14:textId="77777777" w:rsidR="00C626A7" w:rsidRPr="00C626A7" w:rsidRDefault="00C626A7" w:rsidP="00C626A7">
      <w:r w:rsidRPr="00C626A7">
        <w:pict w14:anchorId="6FA7D443">
          <v:rect id="_x0000_i1061" style="width:0;height:1.5pt" o:hralign="center" o:hrstd="t" o:hr="t" fillcolor="#a0a0a0" stroked="f"/>
        </w:pict>
      </w:r>
    </w:p>
    <w:p w14:paraId="3BF0EC02" w14:textId="77777777" w:rsidR="00C626A7" w:rsidRPr="00C626A7" w:rsidRDefault="00C626A7" w:rsidP="00C626A7">
      <w:pPr>
        <w:rPr>
          <w:b/>
          <w:bCs/>
        </w:rPr>
      </w:pPr>
      <w:r w:rsidRPr="00C626A7">
        <w:rPr>
          <w:b/>
          <w:bCs/>
        </w:rPr>
        <w:t>Análisis de Categorías y Requisitos</w:t>
      </w:r>
    </w:p>
    <w:p w14:paraId="249ACE1D" w14:textId="77777777" w:rsidR="00C626A7" w:rsidRPr="00C626A7" w:rsidRDefault="00C626A7" w:rsidP="00C626A7">
      <w:r w:rsidRPr="00C626A7">
        <w:t>La normativa establece criterios específicos basados en la naturaleza institucional, el volumen de activos y el comportamiento transaccional.</w:t>
      </w:r>
    </w:p>
    <w:p w14:paraId="61E1E9A7" w14:textId="77777777" w:rsidR="00C626A7" w:rsidRPr="00C626A7" w:rsidRDefault="00C626A7" w:rsidP="00C626A7">
      <w:pPr>
        <w:rPr>
          <w:b/>
          <w:bCs/>
        </w:rPr>
      </w:pPr>
      <w:r w:rsidRPr="00C626A7">
        <w:rPr>
          <w:b/>
          <w:bCs/>
        </w:rPr>
        <w:t>1. Inversionistas por Naturaleza Institucional</w:t>
      </w:r>
    </w:p>
    <w:p w14:paraId="32CD9192" w14:textId="77777777" w:rsidR="00C626A7" w:rsidRPr="00C626A7" w:rsidRDefault="00C626A7" w:rsidP="00C626A7">
      <w:r w:rsidRPr="00C626A7">
        <w:t>En este primer nivel, la calificación es intrínseca a la función que desempeñan en el mercado.</w:t>
      </w:r>
    </w:p>
    <w:p w14:paraId="13566914" w14:textId="77777777" w:rsidR="00C626A7" w:rsidRPr="00C626A7" w:rsidRDefault="00C626A7" w:rsidP="00C626A7">
      <w:pPr>
        <w:numPr>
          <w:ilvl w:val="0"/>
          <w:numId w:val="1"/>
        </w:numPr>
      </w:pPr>
      <w:r w:rsidRPr="00C626A7">
        <w:rPr>
          <w:b/>
          <w:bCs/>
        </w:rPr>
        <w:t>Inversionistas Institucionales:</w:t>
      </w:r>
      <w:r w:rsidRPr="00C626A7">
        <w:t xml:space="preserve"> Administradoras de Fondos de Pensiones (AFP), compañías de seguros, bancos, etc.</w:t>
      </w:r>
    </w:p>
    <w:p w14:paraId="7509F257" w14:textId="77777777" w:rsidR="00C626A7" w:rsidRPr="00C626A7" w:rsidRDefault="00C626A7" w:rsidP="00C626A7">
      <w:pPr>
        <w:numPr>
          <w:ilvl w:val="0"/>
          <w:numId w:val="1"/>
        </w:numPr>
      </w:pPr>
      <w:r w:rsidRPr="00C626A7">
        <w:rPr>
          <w:b/>
          <w:bCs/>
        </w:rPr>
        <w:t>Intermediarios de Valores:</w:t>
      </w:r>
      <w:r w:rsidRPr="00C626A7">
        <w:t xml:space="preserve"> Corredores de bolsa y agentes de valores.</w:t>
      </w:r>
    </w:p>
    <w:p w14:paraId="19A2D7CA" w14:textId="77777777" w:rsidR="00C626A7" w:rsidRPr="00C626A7" w:rsidRDefault="00C626A7" w:rsidP="00C626A7">
      <w:pPr>
        <w:numPr>
          <w:ilvl w:val="0"/>
          <w:numId w:val="1"/>
        </w:numPr>
      </w:pPr>
      <w:r w:rsidRPr="00C626A7">
        <w:rPr>
          <w:b/>
          <w:bCs/>
        </w:rPr>
        <w:t>Intermediarios de Productos.</w:t>
      </w:r>
    </w:p>
    <w:p w14:paraId="173D0E51" w14:textId="77777777" w:rsidR="00C626A7" w:rsidRPr="00C626A7" w:rsidRDefault="00C626A7" w:rsidP="00C626A7">
      <w:pPr>
        <w:rPr>
          <w:b/>
          <w:bCs/>
        </w:rPr>
      </w:pPr>
      <w:r w:rsidRPr="00C626A7">
        <w:rPr>
          <w:b/>
          <w:bCs/>
        </w:rPr>
        <w:t>2. Inversionistas por Patrimonio y Conocimiento</w:t>
      </w:r>
    </w:p>
    <w:p w14:paraId="1C5AFA2B" w14:textId="77777777" w:rsidR="00C626A7" w:rsidRPr="00C626A7" w:rsidRDefault="00C626A7" w:rsidP="00C626A7">
      <w:r w:rsidRPr="00C626A7">
        <w:t xml:space="preserve">Para las personas naturales o jurídicas que no pertenecen al sector institucional, la normativa exige cumplir con umbrales expresados en </w:t>
      </w:r>
      <w:r w:rsidRPr="00C626A7">
        <w:rPr>
          <w:b/>
          <w:bCs/>
        </w:rPr>
        <w:t>Unidades de Fomento (UF)</w:t>
      </w:r>
      <w:r w:rsidRPr="00C626A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865"/>
        <w:gridCol w:w="5217"/>
      </w:tblGrid>
      <w:tr w:rsidR="00C626A7" w:rsidRPr="00C626A7" w14:paraId="297590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BF4B2" w14:textId="77777777" w:rsidR="00C626A7" w:rsidRPr="00C626A7" w:rsidRDefault="00C626A7" w:rsidP="00C626A7">
            <w:r w:rsidRPr="00C626A7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74FE5" w14:textId="77777777" w:rsidR="00C626A7" w:rsidRPr="00C626A7" w:rsidRDefault="00C626A7" w:rsidP="00C626A7">
            <w:r w:rsidRPr="00C626A7">
              <w:rPr>
                <w:b/>
                <w:bCs/>
              </w:rPr>
              <w:t>Requisito de Inversión Financiera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0C800" w14:textId="77777777" w:rsidR="00C626A7" w:rsidRPr="00C626A7" w:rsidRDefault="00C626A7" w:rsidP="00C626A7">
            <w:r w:rsidRPr="00C626A7">
              <w:rPr>
                <w:b/>
                <w:bCs/>
              </w:rPr>
              <w:t>Requisito Adicional (Cualquiera de los siguientes)</w:t>
            </w:r>
          </w:p>
        </w:tc>
      </w:tr>
      <w:tr w:rsidR="00C626A7" w:rsidRPr="00C626A7" w14:paraId="28A68B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92D4D" w14:textId="77777777" w:rsidR="00C626A7" w:rsidRPr="00C626A7" w:rsidRDefault="00C626A7" w:rsidP="00C626A7">
            <w:r w:rsidRPr="00C626A7">
              <w:rPr>
                <w:b/>
                <w:bCs/>
              </w:rPr>
              <w:t>Patrimonial 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BB625" w14:textId="48C28AD2" w:rsidR="00C626A7" w:rsidRPr="00C626A7" w:rsidRDefault="00C14C16" w:rsidP="00C626A7">
            <w:r>
              <w:t>Mayor o igual a</w:t>
            </w:r>
            <w:r w:rsidR="00C626A7" w:rsidRPr="00C626A7">
              <w:t xml:space="preserve"> 10.000 UF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774BF" w14:textId="77777777" w:rsidR="00C626A7" w:rsidRPr="00C626A7" w:rsidRDefault="00C626A7" w:rsidP="00C626A7">
            <w:r w:rsidRPr="00C626A7">
              <w:t>Ninguno (Calificación automática por monto).</w:t>
            </w:r>
          </w:p>
        </w:tc>
      </w:tr>
      <w:tr w:rsidR="00C626A7" w:rsidRPr="00C626A7" w14:paraId="12BAA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2899F" w14:textId="77777777" w:rsidR="00C626A7" w:rsidRPr="00C626A7" w:rsidRDefault="00C626A7" w:rsidP="00C626A7">
            <w:r w:rsidRPr="00C626A7">
              <w:rPr>
                <w:b/>
                <w:bCs/>
              </w:rPr>
              <w:lastRenderedPageBreak/>
              <w:t>Patrimonial y Sofisticado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644AC" w14:textId="459AB351" w:rsidR="00C626A7" w:rsidRPr="00C626A7" w:rsidRDefault="00C14C16" w:rsidP="00C626A7">
            <w:r>
              <w:t>Mayor o igual a</w:t>
            </w:r>
            <w:r w:rsidR="00C626A7" w:rsidRPr="00C626A7">
              <w:t xml:space="preserve"> 2.000 UF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53EE5" w14:textId="6D56DE9F" w:rsidR="00C626A7" w:rsidRPr="00C626A7" w:rsidRDefault="00C626A7" w:rsidP="00C626A7">
            <w:r w:rsidRPr="00C626A7">
              <w:rPr>
                <w:b/>
                <w:bCs/>
              </w:rPr>
              <w:t>A.</w:t>
            </w:r>
            <w:r w:rsidRPr="00C626A7">
              <w:t xml:space="preserve"> Activos totales </w:t>
            </w:r>
            <w:r w:rsidR="00BC3B77">
              <w:t>m</w:t>
            </w:r>
            <w:r w:rsidR="00BC3B77">
              <w:t>ayor o igual a</w:t>
            </w:r>
            <w:r w:rsidRPr="00C626A7">
              <w:t xml:space="preserve"> 100.000 UF.</w:t>
            </w:r>
          </w:p>
        </w:tc>
      </w:tr>
      <w:tr w:rsidR="00C626A7" w:rsidRPr="00C626A7" w14:paraId="46D33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BC51" w14:textId="77777777" w:rsidR="00C626A7" w:rsidRPr="00C626A7" w:rsidRDefault="00C626A7" w:rsidP="00C626A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01F3B" w14:textId="77777777" w:rsidR="00C626A7" w:rsidRPr="00C626A7" w:rsidRDefault="00C626A7" w:rsidP="00C626A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AEFED" w14:textId="1FD93237" w:rsidR="00C626A7" w:rsidRPr="00C626A7" w:rsidRDefault="00C626A7" w:rsidP="00C626A7">
            <w:r w:rsidRPr="00C626A7">
              <w:rPr>
                <w:b/>
                <w:bCs/>
              </w:rPr>
              <w:t>B.</w:t>
            </w:r>
            <w:r w:rsidRPr="00C626A7">
              <w:t xml:space="preserve"> Transacciones </w:t>
            </w:r>
            <w:r w:rsidR="00BC3B77">
              <w:t>m</w:t>
            </w:r>
            <w:r w:rsidR="00BC3B77">
              <w:t>ayor o igual a</w:t>
            </w:r>
            <w:r w:rsidRPr="00C626A7">
              <w:t xml:space="preserve"> 1.000 UF con frecuencia de </w:t>
            </w:r>
            <w:r w:rsidR="00BC3B77">
              <w:t>m</w:t>
            </w:r>
            <w:r w:rsidR="00BC3B77">
              <w:t>ayor o igual a</w:t>
            </w:r>
            <w:r w:rsidRPr="00C626A7">
              <w:t xml:space="preserve"> 20 operaciones/trimestre en los últimos 4 trimestres.</w:t>
            </w:r>
          </w:p>
        </w:tc>
      </w:tr>
      <w:tr w:rsidR="00C626A7" w:rsidRPr="00C626A7" w14:paraId="587C5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C082D" w14:textId="77777777" w:rsidR="00C626A7" w:rsidRPr="00C626A7" w:rsidRDefault="00C626A7" w:rsidP="00C626A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28536" w14:textId="77777777" w:rsidR="00C626A7" w:rsidRPr="00C626A7" w:rsidRDefault="00C626A7" w:rsidP="00C626A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D1A71" w14:textId="77777777" w:rsidR="00C626A7" w:rsidRPr="00C626A7" w:rsidRDefault="00C626A7" w:rsidP="00C626A7">
            <w:r w:rsidRPr="00C626A7">
              <w:rPr>
                <w:b/>
                <w:bCs/>
              </w:rPr>
              <w:t>C.</w:t>
            </w:r>
            <w:r w:rsidRPr="00C626A7">
              <w:t xml:space="preserve"> Conocimiento técnico acreditado para entender riesgos de mercado.</w:t>
            </w:r>
          </w:p>
        </w:tc>
      </w:tr>
    </w:tbl>
    <w:p w14:paraId="35783A20" w14:textId="77777777" w:rsidR="00C626A7" w:rsidRPr="00C626A7" w:rsidRDefault="00C626A7" w:rsidP="00C626A7">
      <w:r w:rsidRPr="00C626A7">
        <w:pict w14:anchorId="1486F957">
          <v:rect id="_x0000_i1062" style="width:0;height:1.5pt" o:hralign="center" o:hrstd="t" o:hr="t" fillcolor="#a0a0a0" stroked="f"/>
        </w:pict>
      </w:r>
    </w:p>
    <w:p w14:paraId="605AA39B" w14:textId="77777777" w:rsidR="00C626A7" w:rsidRPr="00C626A7" w:rsidRDefault="00C626A7" w:rsidP="00C626A7">
      <w:pPr>
        <w:rPr>
          <w:b/>
          <w:bCs/>
        </w:rPr>
      </w:pPr>
      <w:r w:rsidRPr="00C626A7">
        <w:rPr>
          <w:b/>
          <w:bCs/>
        </w:rPr>
        <w:t>Implicancias Operativas de la Clasificación</w:t>
      </w:r>
    </w:p>
    <w:p w14:paraId="1043642D" w14:textId="77777777" w:rsidR="00C626A7" w:rsidRPr="00C626A7" w:rsidRDefault="00C626A7" w:rsidP="00C626A7">
      <w:r w:rsidRPr="00C626A7">
        <w:t>El estatus de inversionista calificado no es solo una etiqueta administrativa, sino que habilita facultades operativas especiales:</w:t>
      </w:r>
    </w:p>
    <w:p w14:paraId="0466D749" w14:textId="77777777" w:rsidR="00C626A7" w:rsidRPr="00C626A7" w:rsidRDefault="00C626A7" w:rsidP="00C626A7">
      <w:pPr>
        <w:numPr>
          <w:ilvl w:val="0"/>
          <w:numId w:val="2"/>
        </w:numPr>
      </w:pPr>
      <w:r w:rsidRPr="00C626A7">
        <w:rPr>
          <w:b/>
          <w:bCs/>
        </w:rPr>
        <w:t>Acceso a Oferta Privada:</w:t>
      </w:r>
      <w:r w:rsidRPr="00C626A7">
        <w:t xml:space="preserve"> Posibilidad de invertir en valores que no están inscritos en el Registro de Valores de la CMF.</w:t>
      </w:r>
    </w:p>
    <w:p w14:paraId="785DC330" w14:textId="77777777" w:rsidR="00C626A7" w:rsidRPr="00C626A7" w:rsidRDefault="00C626A7" w:rsidP="00C626A7">
      <w:pPr>
        <w:numPr>
          <w:ilvl w:val="0"/>
          <w:numId w:val="2"/>
        </w:numPr>
      </w:pPr>
      <w:r w:rsidRPr="00C626A7">
        <w:rPr>
          <w:b/>
          <w:bCs/>
        </w:rPr>
        <w:t>Flexibilidad en Fondos:</w:t>
      </w:r>
      <w:r w:rsidRPr="00C626A7">
        <w:t xml:space="preserve"> Participación en fondos de inversión con políticas de diversificación más agresivas o concentración en activos menos líquidos (como Real Estate, Venture Capital o Private </w:t>
      </w:r>
      <w:proofErr w:type="spellStart"/>
      <w:r w:rsidRPr="00C626A7">
        <w:t>Equity</w:t>
      </w:r>
      <w:proofErr w:type="spellEnd"/>
      <w:r w:rsidRPr="00C626A7">
        <w:t>).</w:t>
      </w:r>
    </w:p>
    <w:p w14:paraId="40160711" w14:textId="77777777" w:rsidR="00C626A7" w:rsidRPr="00C626A7" w:rsidRDefault="00C626A7" w:rsidP="00C626A7">
      <w:pPr>
        <w:numPr>
          <w:ilvl w:val="0"/>
          <w:numId w:val="2"/>
        </w:numPr>
      </w:pPr>
      <w:r w:rsidRPr="00C626A7">
        <w:rPr>
          <w:b/>
          <w:bCs/>
        </w:rPr>
        <w:t>Menores Barreras de Información:</w:t>
      </w:r>
      <w:r w:rsidRPr="00C626A7">
        <w:t xml:space="preserve"> Se asume que el inversionista puede realizar su propio </w:t>
      </w:r>
      <w:proofErr w:type="spellStart"/>
      <w:r w:rsidRPr="00C626A7">
        <w:rPr>
          <w:i/>
          <w:iCs/>
        </w:rPr>
        <w:t>due</w:t>
      </w:r>
      <w:proofErr w:type="spellEnd"/>
      <w:r w:rsidRPr="00C626A7">
        <w:rPr>
          <w:i/>
          <w:iCs/>
        </w:rPr>
        <w:t xml:space="preserve"> </w:t>
      </w:r>
      <w:proofErr w:type="spellStart"/>
      <w:r w:rsidRPr="00C626A7">
        <w:rPr>
          <w:i/>
          <w:iCs/>
        </w:rPr>
        <w:t>diligence</w:t>
      </w:r>
      <w:proofErr w:type="spellEnd"/>
      <w:r w:rsidRPr="00C626A7">
        <w:t>, por lo que los emisores podrían tener exigencias de información simplificadas en comparación con la oferta pública general.</w:t>
      </w:r>
    </w:p>
    <w:p w14:paraId="2819F01E" w14:textId="77777777" w:rsidR="00C626A7" w:rsidRPr="00C626A7" w:rsidRDefault="00C626A7" w:rsidP="00C626A7">
      <w:r w:rsidRPr="00C626A7">
        <w:pict w14:anchorId="191840C5">
          <v:rect id="_x0000_i1063" style="width:0;height:1.5pt" o:hralign="center" o:hrstd="t" o:hr="t" fillcolor="#a0a0a0" stroked="f"/>
        </w:pict>
      </w:r>
    </w:p>
    <w:p w14:paraId="061D79AE" w14:textId="77777777" w:rsidR="00C626A7" w:rsidRPr="00C626A7" w:rsidRDefault="00C626A7" w:rsidP="00C626A7">
      <w:pPr>
        <w:rPr>
          <w:b/>
          <w:bCs/>
        </w:rPr>
      </w:pPr>
      <w:r w:rsidRPr="00C626A7">
        <w:rPr>
          <w:b/>
          <w:bCs/>
        </w:rPr>
        <w:t>Conceptos Financieros Clave</w:t>
      </w:r>
    </w:p>
    <w:p w14:paraId="33D1C654" w14:textId="77777777" w:rsidR="00C626A7" w:rsidRPr="00C626A7" w:rsidRDefault="00C626A7" w:rsidP="00C626A7">
      <w:pPr>
        <w:numPr>
          <w:ilvl w:val="0"/>
          <w:numId w:val="3"/>
        </w:numPr>
      </w:pPr>
      <w:r w:rsidRPr="00C626A7">
        <w:rPr>
          <w:b/>
          <w:bCs/>
        </w:rPr>
        <w:t>UF (Unidad de Fomento):</w:t>
      </w:r>
      <w:r w:rsidRPr="00C626A7">
        <w:t xml:space="preserve"> Unidad de cuenta reajustable según la inflación, utilizada en Chile para fijar umbrales financieros de largo plazo.</w:t>
      </w:r>
    </w:p>
    <w:p w14:paraId="11B24E40" w14:textId="77777777" w:rsidR="00C626A7" w:rsidRPr="00C626A7" w:rsidRDefault="00C626A7" w:rsidP="00C626A7">
      <w:pPr>
        <w:numPr>
          <w:ilvl w:val="0"/>
          <w:numId w:val="3"/>
        </w:numPr>
      </w:pPr>
      <w:r w:rsidRPr="00C626A7">
        <w:rPr>
          <w:b/>
          <w:bCs/>
        </w:rPr>
        <w:t>Inversiones Financieras:</w:t>
      </w:r>
      <w:r w:rsidRPr="00C626A7">
        <w:t xml:space="preserve"> Se refiere a la tenencia de activos líquidos o negociables (acciones, bonos, cuotas de fondos) al momento de la calificación.</w:t>
      </w:r>
    </w:p>
    <w:p w14:paraId="0070968A" w14:textId="77777777" w:rsidR="00C626A7" w:rsidRPr="00C626A7" w:rsidRDefault="00C626A7" w:rsidP="00C626A7">
      <w:pPr>
        <w:numPr>
          <w:ilvl w:val="0"/>
          <w:numId w:val="3"/>
        </w:numPr>
      </w:pPr>
      <w:r w:rsidRPr="00C626A7">
        <w:rPr>
          <w:b/>
          <w:bCs/>
        </w:rPr>
        <w:lastRenderedPageBreak/>
        <w:t>Sofisticación Financiera:</w:t>
      </w:r>
      <w:r w:rsidRPr="00C626A7">
        <w:t xml:space="preserve"> Capacidad técnica de un inversionista para comprender la estructura de un derivado, el riesgo de crédito de un emisor o la volatilidad de un mercado.</w:t>
      </w:r>
    </w:p>
    <w:p w14:paraId="7A4BE2D4" w14:textId="77777777" w:rsidR="00C626A7" w:rsidRPr="00C626A7" w:rsidRDefault="00C626A7" w:rsidP="00C626A7">
      <w:r w:rsidRPr="00C626A7">
        <w:pict w14:anchorId="527987F4">
          <v:rect id="_x0000_i1064" style="width:0;height:1.5pt" o:hralign="center" o:hrstd="t" o:hr="t" fillcolor="#a0a0a0" stroked="f"/>
        </w:pict>
      </w:r>
    </w:p>
    <w:p w14:paraId="4C49CFC9" w14:textId="77777777" w:rsidR="00C626A7" w:rsidRPr="00C626A7" w:rsidRDefault="00C626A7" w:rsidP="00C626A7">
      <w:pPr>
        <w:rPr>
          <w:b/>
          <w:bCs/>
        </w:rPr>
      </w:pPr>
      <w:r w:rsidRPr="00C626A7">
        <w:rPr>
          <w:b/>
          <w:bCs/>
        </w:rPr>
        <w:t>Conclusiones / Ideas Principales</w:t>
      </w:r>
    </w:p>
    <w:p w14:paraId="46B51F45" w14:textId="77777777" w:rsidR="00C626A7" w:rsidRPr="00C626A7" w:rsidRDefault="00C626A7" w:rsidP="00C626A7">
      <w:pPr>
        <w:numPr>
          <w:ilvl w:val="0"/>
          <w:numId w:val="4"/>
        </w:numPr>
      </w:pPr>
      <w:r w:rsidRPr="00C626A7">
        <w:t xml:space="preserve">La normativa busca </w:t>
      </w:r>
      <w:r w:rsidRPr="00C626A7">
        <w:rPr>
          <w:b/>
          <w:bCs/>
        </w:rPr>
        <w:t>proteger al inversionista minorista</w:t>
      </w:r>
      <w:r w:rsidRPr="00C626A7">
        <w:t>, restringiendo los productos de alto riesgo a quienes tienen "espalda financiera" o conocimiento técnico.</w:t>
      </w:r>
    </w:p>
    <w:p w14:paraId="2D7D7E52" w14:textId="77777777" w:rsidR="00C626A7" w:rsidRPr="00C626A7" w:rsidRDefault="00C626A7" w:rsidP="00C626A7">
      <w:pPr>
        <w:numPr>
          <w:ilvl w:val="0"/>
          <w:numId w:val="4"/>
        </w:numPr>
      </w:pPr>
      <w:r w:rsidRPr="00C626A7">
        <w:t xml:space="preserve">Los umbrales de </w:t>
      </w:r>
      <w:r w:rsidRPr="00C626A7">
        <w:rPr>
          <w:b/>
          <w:bCs/>
        </w:rPr>
        <w:t>2.000 UF</w:t>
      </w:r>
      <w:r w:rsidRPr="00C626A7">
        <w:t xml:space="preserve"> y </w:t>
      </w:r>
      <w:r w:rsidRPr="00C626A7">
        <w:rPr>
          <w:b/>
          <w:bCs/>
        </w:rPr>
        <w:t>10.000 UF</w:t>
      </w:r>
      <w:r w:rsidRPr="00C626A7">
        <w:t xml:space="preserve"> actúan como filtros de entrada para la banca privada y fondos de inversión específicos.</w:t>
      </w:r>
    </w:p>
    <w:p w14:paraId="4263EAFA" w14:textId="77777777" w:rsidR="00C626A7" w:rsidRPr="00C626A7" w:rsidRDefault="00C626A7" w:rsidP="00C626A7">
      <w:pPr>
        <w:numPr>
          <w:ilvl w:val="0"/>
          <w:numId w:val="4"/>
        </w:numPr>
      </w:pPr>
      <w:r w:rsidRPr="00C626A7">
        <w:t xml:space="preserve">El criterio de </w:t>
      </w:r>
      <w:r w:rsidRPr="00C626A7">
        <w:rPr>
          <w:b/>
          <w:bCs/>
        </w:rPr>
        <w:t>frecuencia transaccional</w:t>
      </w:r>
      <w:r w:rsidRPr="00C626A7">
        <w:t xml:space="preserve"> (20 operaciones trimestrales) reconoce que la experiencia práctica en el mercado puede ser tan valiosa como el patrimonio neto.</w:t>
      </w:r>
    </w:p>
    <w:p w14:paraId="0E3A54D6" w14:textId="77777777" w:rsidR="00C626A7" w:rsidRPr="00C626A7" w:rsidRDefault="00C626A7" w:rsidP="00C626A7">
      <w:r w:rsidRPr="00C626A7">
        <w:pict w14:anchorId="1B6172EF">
          <v:rect id="_x0000_i1065" style="width:0;height:1.5pt" o:hralign="center" o:hrstd="t" o:hr="t" fillcolor="#a0a0a0" stroked="f"/>
        </w:pict>
      </w:r>
    </w:p>
    <w:p w14:paraId="6ED54B50" w14:textId="77777777" w:rsidR="00C626A7" w:rsidRPr="00C626A7" w:rsidRDefault="00C626A7" w:rsidP="00C626A7">
      <w:pPr>
        <w:rPr>
          <w:b/>
          <w:bCs/>
        </w:rPr>
      </w:pPr>
      <w:r w:rsidRPr="00C626A7">
        <w:rPr>
          <w:b/>
          <w:bCs/>
        </w:rPr>
        <w:t>Supuestos, Riesgos o Consideraciones Relevantes</w:t>
      </w:r>
    </w:p>
    <w:p w14:paraId="07B73766" w14:textId="77777777" w:rsidR="00C626A7" w:rsidRPr="00C626A7" w:rsidRDefault="00C626A7" w:rsidP="00C626A7">
      <w:pPr>
        <w:numPr>
          <w:ilvl w:val="0"/>
          <w:numId w:val="5"/>
        </w:numPr>
      </w:pPr>
      <w:r w:rsidRPr="00C626A7">
        <w:rPr>
          <w:b/>
          <w:bCs/>
        </w:rPr>
        <w:t>Validación de Datos:</w:t>
      </w:r>
      <w:r w:rsidRPr="00C626A7">
        <w:t xml:space="preserve"> Se asume que la información proporcionada por el inversionista para acreditar los montos o el conocimiento es fidedigna y verificable por el intermediario.</w:t>
      </w:r>
    </w:p>
    <w:p w14:paraId="1AD4F6EF" w14:textId="77777777" w:rsidR="00C626A7" w:rsidRPr="00C626A7" w:rsidRDefault="00C626A7" w:rsidP="00C626A7">
      <w:pPr>
        <w:numPr>
          <w:ilvl w:val="0"/>
          <w:numId w:val="5"/>
        </w:numPr>
      </w:pPr>
      <w:r w:rsidRPr="00C626A7">
        <w:rPr>
          <w:b/>
          <w:bCs/>
        </w:rPr>
        <w:t>Riesgo de Pérdida:</w:t>
      </w:r>
      <w:r w:rsidRPr="00C626A7">
        <w:t xml:space="preserve"> Ser "calificado" no implica garantía de éxito; por el contrario, expone al titular a instrumentos donde la pérdida del capital inicial es una posibilidad real y aceptada contractualmente.</w:t>
      </w:r>
    </w:p>
    <w:p w14:paraId="7711EF1C" w14:textId="77777777" w:rsidR="00C626A7" w:rsidRPr="00C626A7" w:rsidRDefault="00C626A7" w:rsidP="00C626A7">
      <w:r w:rsidRPr="00C626A7">
        <w:pict w14:anchorId="048305C2">
          <v:rect id="_x0000_i1066" style="width:0;height:1.5pt" o:hralign="center" o:hrstd="t" o:hr="t" fillcolor="#a0a0a0" stroked="f"/>
        </w:pict>
      </w:r>
    </w:p>
    <w:p w14:paraId="060EFF89" w14:textId="77777777" w:rsidR="00C626A7" w:rsidRPr="00C626A7" w:rsidRDefault="00C626A7" w:rsidP="00C626A7">
      <w:pPr>
        <w:rPr>
          <w:b/>
          <w:bCs/>
        </w:rPr>
      </w:pPr>
      <w:proofErr w:type="gramStart"/>
      <w:r w:rsidRPr="00C626A7">
        <w:rPr>
          <w:b/>
          <w:bCs/>
        </w:rPr>
        <w:t>Puntos a Aclarar</w:t>
      </w:r>
      <w:proofErr w:type="gramEnd"/>
      <w:r w:rsidRPr="00C626A7">
        <w:rPr>
          <w:b/>
          <w:bCs/>
        </w:rPr>
        <w:t xml:space="preserve"> o Información Faltante</w:t>
      </w:r>
    </w:p>
    <w:p w14:paraId="086DCFB7" w14:textId="77777777" w:rsidR="00C626A7" w:rsidRPr="00C626A7" w:rsidRDefault="00C626A7" w:rsidP="00C626A7">
      <w:pPr>
        <w:numPr>
          <w:ilvl w:val="0"/>
          <w:numId w:val="6"/>
        </w:numPr>
      </w:pPr>
      <w:r w:rsidRPr="00C626A7">
        <w:rPr>
          <w:b/>
          <w:bCs/>
        </w:rPr>
        <w:t>Acreditación de Conocimiento:</w:t>
      </w:r>
      <w:r w:rsidRPr="00C626A7">
        <w:t xml:space="preserve"> No se detalla el mecanismo exacto para "contar con el conocimiento necesario" (¿Examen de la CMF? ¿Certificaciones internacionales tipo CFA? ¿Títulos profesionales específicos?).</w:t>
      </w:r>
    </w:p>
    <w:p w14:paraId="77C641A5" w14:textId="77777777" w:rsidR="00C626A7" w:rsidRPr="00C626A7" w:rsidRDefault="00C626A7" w:rsidP="00C626A7">
      <w:pPr>
        <w:numPr>
          <w:ilvl w:val="0"/>
          <w:numId w:val="6"/>
        </w:numPr>
      </w:pPr>
      <w:r w:rsidRPr="00C626A7">
        <w:rPr>
          <w:b/>
          <w:bCs/>
        </w:rPr>
        <w:t>Inversiones fuera de Chile:</w:t>
      </w:r>
      <w:r w:rsidRPr="00C626A7">
        <w:t xml:space="preserve"> No se especifica si las inversiones financieras de 10.000 UF deben estar depositadas localmente o si se consideran activos en el extranjero.</w:t>
      </w:r>
    </w:p>
    <w:p w14:paraId="533B3860" w14:textId="7F90AFE8" w:rsidR="000D1EDE" w:rsidRDefault="00C626A7" w:rsidP="00C626A7">
      <w:pPr>
        <w:numPr>
          <w:ilvl w:val="0"/>
          <w:numId w:val="6"/>
        </w:numPr>
      </w:pPr>
      <w:r w:rsidRPr="00C626A7">
        <w:rPr>
          <w:b/>
          <w:bCs/>
        </w:rPr>
        <w:t>Vigencia:</w:t>
      </w:r>
      <w:r w:rsidRPr="00C626A7">
        <w:t xml:space="preserve"> No se menciona la periodicidad con la que un inversionista debe "</w:t>
      </w:r>
      <w:proofErr w:type="spellStart"/>
      <w:r w:rsidRPr="00C626A7">
        <w:t>re-calificar</w:t>
      </w:r>
      <w:proofErr w:type="spellEnd"/>
      <w:r w:rsidRPr="00C626A7">
        <w:t>" si sus inversiones bajan del umbral de las 2.000 o 10.000 UF.</w:t>
      </w:r>
    </w:p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251"/>
    <w:multiLevelType w:val="multilevel"/>
    <w:tmpl w:val="191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C19CB"/>
    <w:multiLevelType w:val="multilevel"/>
    <w:tmpl w:val="8BA0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15B31"/>
    <w:multiLevelType w:val="multilevel"/>
    <w:tmpl w:val="73A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E78D7"/>
    <w:multiLevelType w:val="multilevel"/>
    <w:tmpl w:val="65E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90206"/>
    <w:multiLevelType w:val="multilevel"/>
    <w:tmpl w:val="8B2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02600"/>
    <w:multiLevelType w:val="multilevel"/>
    <w:tmpl w:val="319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20891">
    <w:abstractNumId w:val="4"/>
  </w:num>
  <w:num w:numId="2" w16cid:durableId="725028033">
    <w:abstractNumId w:val="3"/>
  </w:num>
  <w:num w:numId="3" w16cid:durableId="1702508195">
    <w:abstractNumId w:val="0"/>
  </w:num>
  <w:num w:numId="4" w16cid:durableId="422265283">
    <w:abstractNumId w:val="2"/>
  </w:num>
  <w:num w:numId="5" w16cid:durableId="180510111">
    <w:abstractNumId w:val="1"/>
  </w:num>
  <w:num w:numId="6" w16cid:durableId="30034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94"/>
    <w:rsid w:val="00071C90"/>
    <w:rsid w:val="000D1EDE"/>
    <w:rsid w:val="00320D26"/>
    <w:rsid w:val="00414AB1"/>
    <w:rsid w:val="006473F9"/>
    <w:rsid w:val="00736F93"/>
    <w:rsid w:val="009E5D67"/>
    <w:rsid w:val="00BC3B77"/>
    <w:rsid w:val="00C14C16"/>
    <w:rsid w:val="00C626A7"/>
    <w:rsid w:val="00EE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67D40"/>
  <w15:chartTrackingRefBased/>
  <w15:docId w15:val="{44055E06-E5C6-4AD3-9959-2B84168D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7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7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7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7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7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7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712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4</cp:revision>
  <dcterms:created xsi:type="dcterms:W3CDTF">2026-05-06T22:48:00Z</dcterms:created>
  <dcterms:modified xsi:type="dcterms:W3CDTF">2026-05-06T22:50:00Z</dcterms:modified>
</cp:coreProperties>
</file>