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4D481" w14:textId="77777777" w:rsidR="00C1045C" w:rsidRPr="00C1045C" w:rsidRDefault="00C1045C" w:rsidP="00C1045C">
      <w:pPr>
        <w:rPr>
          <w:b/>
          <w:bCs/>
        </w:rPr>
      </w:pPr>
      <w:r w:rsidRPr="00C1045C">
        <w:rPr>
          <w:b/>
          <w:bCs/>
        </w:rPr>
        <w:t>Análisis Institucional: Sociedades Administradoras Generales de Fondos (AGF)</w:t>
      </w:r>
    </w:p>
    <w:p w14:paraId="25E944B0" w14:textId="77777777" w:rsidR="00C1045C" w:rsidRPr="00C1045C" w:rsidRDefault="00C1045C" w:rsidP="00C1045C">
      <w:pPr>
        <w:rPr>
          <w:b/>
          <w:bCs/>
        </w:rPr>
      </w:pPr>
      <w:r w:rsidRPr="00C1045C">
        <w:rPr>
          <w:b/>
          <w:bCs/>
        </w:rPr>
        <w:t>Resumen Ejecutivo</w:t>
      </w:r>
    </w:p>
    <w:p w14:paraId="00FCD607" w14:textId="77777777" w:rsidR="00C1045C" w:rsidRPr="00C1045C" w:rsidRDefault="00C1045C" w:rsidP="00C1045C">
      <w:r w:rsidRPr="00C1045C">
        <w:t xml:space="preserve">Las Sociedades Administradoras Generales de Fondos (AGF) son sociedades anónimas especiales, altamente reguladas, cuyo objeto exclusivo es la gestión profesional de recursos de terceros. Operan como vehículos jurídicos encargados de estructurar y administrar Fondos Mutuos, Fondos de Inversión, carteras de terceros y otros vehículos fiscalizados. En el ecosistema del mercado de valores, actúan sistemáticamente como </w:t>
      </w:r>
      <w:r w:rsidRPr="00C1045C">
        <w:rPr>
          <w:b/>
          <w:bCs/>
        </w:rPr>
        <w:t>demandantes de valores</w:t>
      </w:r>
      <w:r w:rsidRPr="00C1045C">
        <w:t>, canalizando el capital de sus aportantes hacia la compra de instrumentos financieros bajo estrictas normativas de solvencia y supervisión.</w:t>
      </w:r>
    </w:p>
    <w:p w14:paraId="7EAB85F5" w14:textId="77777777" w:rsidR="00C1045C" w:rsidRPr="00C1045C" w:rsidRDefault="00C1045C" w:rsidP="00C1045C">
      <w:r w:rsidRPr="00C1045C">
        <w:pict w14:anchorId="0DAB731F">
          <v:rect id="_x0000_i1061" style="width:0;height:1.5pt" o:hralign="center" o:hrstd="t" o:hr="t" fillcolor="#a0a0a0" stroked="f"/>
        </w:pict>
      </w:r>
    </w:p>
    <w:p w14:paraId="153F09C9" w14:textId="77777777" w:rsidR="00C1045C" w:rsidRPr="00C1045C" w:rsidRDefault="00C1045C" w:rsidP="00C1045C">
      <w:pPr>
        <w:rPr>
          <w:b/>
          <w:bCs/>
        </w:rPr>
      </w:pPr>
      <w:r w:rsidRPr="00C1045C">
        <w:rPr>
          <w:b/>
          <w:bCs/>
        </w:rPr>
        <w:t>Contexto y Propósito del Documento</w:t>
      </w:r>
    </w:p>
    <w:p w14:paraId="2E6713C0" w14:textId="77777777" w:rsidR="00C1045C" w:rsidRPr="00C1045C" w:rsidRDefault="00C1045C" w:rsidP="00C1045C">
      <w:r w:rsidRPr="00C1045C">
        <w:t xml:space="preserve">El propósito de este documento es delinear el marco jurídico, operativo y regulatorio que rige a las AGF en Chile, principalmente bajo la Ley </w:t>
      </w:r>
      <w:proofErr w:type="spellStart"/>
      <w:r w:rsidRPr="00C1045C">
        <w:t>N°</w:t>
      </w:r>
      <w:proofErr w:type="spellEnd"/>
      <w:r w:rsidRPr="00C1045C">
        <w:t xml:space="preserve"> 20.712 (Ley Única de Fondos). Comprender la estructura de una AGF es fundamental para dimensionar cómo se delega la gestión de inversiones, cómo se mitigan los riesgos de administración y qué facultades posee el ente regulador para proteger el patrimonio de los partícipes.</w:t>
      </w:r>
    </w:p>
    <w:p w14:paraId="436D7B46" w14:textId="77777777" w:rsidR="00C1045C" w:rsidRPr="00C1045C" w:rsidRDefault="00C1045C" w:rsidP="00C1045C">
      <w:r w:rsidRPr="00C1045C">
        <w:pict w14:anchorId="056C2AC2">
          <v:rect id="_x0000_i1062" style="width:0;height:1.5pt" o:hralign="center" o:hrstd="t" o:hr="t" fillcolor="#a0a0a0" stroked="f"/>
        </w:pict>
      </w:r>
    </w:p>
    <w:p w14:paraId="5A1F140E" w14:textId="77777777" w:rsidR="00C1045C" w:rsidRPr="00C1045C" w:rsidRDefault="00C1045C" w:rsidP="00C1045C">
      <w:pPr>
        <w:rPr>
          <w:b/>
          <w:bCs/>
        </w:rPr>
      </w:pPr>
      <w:r w:rsidRPr="00C1045C">
        <w:rPr>
          <w:b/>
          <w:bCs/>
        </w:rPr>
        <w:t>Desarrollo del Contenido</w:t>
      </w:r>
    </w:p>
    <w:p w14:paraId="75513EF0" w14:textId="77777777" w:rsidR="00C1045C" w:rsidRPr="00C1045C" w:rsidRDefault="00C1045C" w:rsidP="00C1045C">
      <w:pPr>
        <w:rPr>
          <w:b/>
          <w:bCs/>
        </w:rPr>
      </w:pPr>
      <w:r w:rsidRPr="00C1045C">
        <w:rPr>
          <w:b/>
          <w:bCs/>
        </w:rPr>
        <w:t>Sección 1: Naturaleza Jurídica y Rol en el Mercado</w:t>
      </w:r>
    </w:p>
    <w:p w14:paraId="48E885EE" w14:textId="77777777" w:rsidR="00C1045C" w:rsidRPr="00C1045C" w:rsidRDefault="00C1045C" w:rsidP="00C1045C">
      <w:r w:rsidRPr="00C1045C">
        <w:t>Las AGF no invierten su propio capital en el mercado de valores, sino que fungen como representantes y gestores.</w:t>
      </w:r>
    </w:p>
    <w:p w14:paraId="1B66E856" w14:textId="77777777" w:rsidR="00C1045C" w:rsidRPr="00C1045C" w:rsidRDefault="00C1045C" w:rsidP="00C1045C">
      <w:pPr>
        <w:numPr>
          <w:ilvl w:val="0"/>
          <w:numId w:val="1"/>
        </w:numPr>
      </w:pPr>
      <w:r w:rsidRPr="00C1045C">
        <w:rPr>
          <w:b/>
          <w:bCs/>
        </w:rPr>
        <w:t>Rol Bursátil:</w:t>
      </w:r>
      <w:r w:rsidRPr="00C1045C">
        <w:t xml:space="preserve"> Son el principal </w:t>
      </w:r>
      <w:r w:rsidRPr="00C1045C">
        <w:rPr>
          <w:b/>
          <w:bCs/>
        </w:rPr>
        <w:t>demandante institucional de valores</w:t>
      </w:r>
      <w:r w:rsidRPr="00C1045C">
        <w:t>. A través de los fondos que crean, adquieren acciones, bonos y otros títulos, inyectando liquidez constante al mercado.</w:t>
      </w:r>
    </w:p>
    <w:p w14:paraId="55EBDBCB" w14:textId="77777777" w:rsidR="00C1045C" w:rsidRPr="00C1045C" w:rsidRDefault="00C1045C" w:rsidP="00C1045C">
      <w:pPr>
        <w:numPr>
          <w:ilvl w:val="0"/>
          <w:numId w:val="1"/>
        </w:numPr>
      </w:pPr>
      <w:r w:rsidRPr="00C1045C">
        <w:rPr>
          <w:b/>
          <w:bCs/>
        </w:rPr>
        <w:t>Separación Patrimonial:</w:t>
      </w:r>
      <w:r w:rsidRPr="00C1045C">
        <w:t xml:space="preserve"> La administradora es responsable de la gestión, pero las inversiones se realizan </w:t>
      </w:r>
      <w:r w:rsidRPr="00C1045C">
        <w:rPr>
          <w:b/>
          <w:bCs/>
        </w:rPr>
        <w:t>por cuenta y riesgo de los aportantes</w:t>
      </w:r>
      <w:r w:rsidRPr="00C1045C">
        <w:t xml:space="preserve"> (los dueños reales del dinero). El patrimonio de la AGF es legal y contablemente independiente del patrimonio de los fondos que administra.</w:t>
      </w:r>
    </w:p>
    <w:p w14:paraId="545BEF8F" w14:textId="77777777" w:rsidR="00C1045C" w:rsidRPr="00C1045C" w:rsidRDefault="00C1045C" w:rsidP="00C1045C">
      <w:pPr>
        <w:rPr>
          <w:b/>
          <w:bCs/>
        </w:rPr>
      </w:pPr>
      <w:r w:rsidRPr="00C1045C">
        <w:rPr>
          <w:b/>
          <w:bCs/>
        </w:rPr>
        <w:t>Sección 2: Exigencias de Constitución y Solvencia</w:t>
      </w:r>
    </w:p>
    <w:p w14:paraId="6602219B" w14:textId="77777777" w:rsidR="00C1045C" w:rsidRPr="00C1045C" w:rsidRDefault="00C1045C" w:rsidP="00C1045C">
      <w:r w:rsidRPr="00C1045C">
        <w:lastRenderedPageBreak/>
        <w:t xml:space="preserve">Dada la magnitud de los recursos que manejan, la ley impone barreras de entrada y reglas de operación rigurosas (basadas en la Ley </w:t>
      </w:r>
      <w:proofErr w:type="spellStart"/>
      <w:r w:rsidRPr="00C1045C">
        <w:t>N°</w:t>
      </w:r>
      <w:proofErr w:type="spellEnd"/>
      <w:r w:rsidRPr="00C1045C">
        <w:t xml:space="preserve"> 18.046 y </w:t>
      </w:r>
      <w:proofErr w:type="spellStart"/>
      <w:r w:rsidRPr="00C1045C">
        <w:t>N°</w:t>
      </w:r>
      <w:proofErr w:type="spellEnd"/>
      <w:r w:rsidRPr="00C1045C">
        <w:t xml:space="preserve"> 20.712):</w:t>
      </w:r>
    </w:p>
    <w:p w14:paraId="7AD01D48" w14:textId="77777777" w:rsidR="00C1045C" w:rsidRPr="00C1045C" w:rsidRDefault="00C1045C" w:rsidP="00C1045C">
      <w:pPr>
        <w:numPr>
          <w:ilvl w:val="0"/>
          <w:numId w:val="2"/>
        </w:numPr>
      </w:pPr>
      <w:r w:rsidRPr="00C1045C">
        <w:rPr>
          <w:b/>
          <w:bCs/>
        </w:rPr>
        <w:t>Razón Social:</w:t>
      </w:r>
      <w:r w:rsidRPr="00C1045C">
        <w:t xml:space="preserve"> Deben incluir explícita y obligatoriamente la expresión "Administradora General de Fondos" en su nombre.</w:t>
      </w:r>
    </w:p>
    <w:p w14:paraId="1D005B87" w14:textId="77777777" w:rsidR="00C1045C" w:rsidRPr="00C1045C" w:rsidRDefault="00C1045C" w:rsidP="00C1045C">
      <w:pPr>
        <w:numPr>
          <w:ilvl w:val="0"/>
          <w:numId w:val="2"/>
        </w:numPr>
      </w:pPr>
      <w:r w:rsidRPr="00C1045C">
        <w:rPr>
          <w:b/>
          <w:bCs/>
        </w:rPr>
        <w:t>Patrimonio Mínimo:</w:t>
      </w:r>
      <w:r w:rsidRPr="00C1045C">
        <w:t xml:space="preserve"> Deben mantener permanentemente un patrimonio propio no inferior a </w:t>
      </w:r>
      <w:r w:rsidRPr="00C1045C">
        <w:rPr>
          <w:b/>
          <w:bCs/>
        </w:rPr>
        <w:t>10.000 Unidades de Fomento (UF)</w:t>
      </w:r>
      <w:r w:rsidRPr="00C1045C">
        <w:t>, como respaldo de su solvencia operativa.</w:t>
      </w:r>
    </w:p>
    <w:p w14:paraId="31C41400" w14:textId="77777777" w:rsidR="00C1045C" w:rsidRPr="00C1045C" w:rsidRDefault="00C1045C" w:rsidP="00C1045C">
      <w:pPr>
        <w:numPr>
          <w:ilvl w:val="0"/>
          <w:numId w:val="2"/>
        </w:numPr>
      </w:pPr>
      <w:r w:rsidRPr="00C1045C">
        <w:rPr>
          <w:b/>
          <w:bCs/>
        </w:rPr>
        <w:t>Condición de Vigencia:</w:t>
      </w:r>
      <w:r w:rsidRPr="00C1045C">
        <w:t xml:space="preserve"> A un año de su autorización, deben contar con al menos un fondo activo que cumpla con los mínimos de partícipes y patrimonio exigidos por ley. El incumplimiento de esta cláusula es causal de </w:t>
      </w:r>
      <w:r w:rsidRPr="00C1045C">
        <w:rPr>
          <w:b/>
          <w:bCs/>
        </w:rPr>
        <w:t>disolución y liquidación obligatoria</w:t>
      </w:r>
      <w:r w:rsidRPr="00C1045C">
        <w:t>.</w:t>
      </w:r>
    </w:p>
    <w:p w14:paraId="4A400231" w14:textId="77777777" w:rsidR="00C1045C" w:rsidRPr="00C1045C" w:rsidRDefault="00C1045C" w:rsidP="00C1045C">
      <w:pPr>
        <w:rPr>
          <w:b/>
          <w:bCs/>
        </w:rPr>
      </w:pPr>
      <w:r w:rsidRPr="00C1045C">
        <w:rPr>
          <w:b/>
          <w:bCs/>
        </w:rPr>
        <w:t>Sección 3: Fiscalización y Relación con la CMF</w:t>
      </w:r>
    </w:p>
    <w:p w14:paraId="14A0E280" w14:textId="77777777" w:rsidR="00C1045C" w:rsidRPr="00C1045C" w:rsidRDefault="00C1045C" w:rsidP="00C1045C">
      <w:r w:rsidRPr="00C1045C">
        <w:t>La Comisión para el Mercado Financiero (CMF) ejerce una supervisión exhaustiva y continua sobre estas entidades:</w:t>
      </w:r>
    </w:p>
    <w:p w14:paraId="7B1E1406" w14:textId="77777777" w:rsidR="00C1045C" w:rsidRPr="00C1045C" w:rsidRDefault="00C1045C" w:rsidP="00C1045C">
      <w:pPr>
        <w:numPr>
          <w:ilvl w:val="0"/>
          <w:numId w:val="3"/>
        </w:numPr>
      </w:pPr>
      <w:r w:rsidRPr="00C1045C">
        <w:rPr>
          <w:b/>
          <w:bCs/>
        </w:rPr>
        <w:t>Facultades de Inspección:</w:t>
      </w:r>
      <w:r w:rsidRPr="00C1045C">
        <w:t xml:space="preserve"> La CMF puede examinar sin restricción libros, carteras y documentos para evaluar la solvencia y la correcta ejecución de la política de inversiones.</w:t>
      </w:r>
    </w:p>
    <w:p w14:paraId="4BF32DFA" w14:textId="77777777" w:rsidR="00C1045C" w:rsidRPr="00C1045C" w:rsidRDefault="00C1045C" w:rsidP="00C1045C">
      <w:pPr>
        <w:numPr>
          <w:ilvl w:val="0"/>
          <w:numId w:val="3"/>
        </w:numPr>
      </w:pPr>
      <w:r w:rsidRPr="00C1045C">
        <w:rPr>
          <w:b/>
          <w:bCs/>
        </w:rPr>
        <w:t>Autorización de Inicio:</w:t>
      </w:r>
      <w:r w:rsidRPr="00C1045C">
        <w:t xml:space="preserve"> Una AGF no puede operar solo por existir legalmente; requiere demostrar ante la CMF que cuenta con las políticas, procedimientos y controles internos adecuados para resguardar los intereses de los aportantes.</w:t>
      </w:r>
    </w:p>
    <w:p w14:paraId="4B37BD24" w14:textId="77777777" w:rsidR="00C1045C" w:rsidRPr="00C1045C" w:rsidRDefault="00C1045C" w:rsidP="00C1045C">
      <w:pPr>
        <w:numPr>
          <w:ilvl w:val="0"/>
          <w:numId w:val="3"/>
        </w:numPr>
      </w:pPr>
      <w:r w:rsidRPr="00C1045C">
        <w:rPr>
          <w:b/>
          <w:bCs/>
        </w:rPr>
        <w:t>Remuneración:</w:t>
      </w:r>
      <w:r w:rsidRPr="00C1045C">
        <w:t xml:space="preserve"> La CMF vela por que los cobros por gestión (remuneraciones de la AGF) se ajusten estrictamente a lo declarado en los reglamentos internos de cada fondo.</w:t>
      </w:r>
    </w:p>
    <w:p w14:paraId="345FE871" w14:textId="77777777" w:rsidR="00C1045C" w:rsidRPr="00C1045C" w:rsidRDefault="00C1045C" w:rsidP="00C1045C">
      <w:r w:rsidRPr="00C1045C">
        <w:pict w14:anchorId="21B10B54">
          <v:rect id="_x0000_i1063" style="width:0;height:1.5pt" o:hralign="center" o:hrstd="t" o:hr="t" fillcolor="#a0a0a0" stroked="f"/>
        </w:pict>
      </w:r>
    </w:p>
    <w:p w14:paraId="5E651323" w14:textId="77777777" w:rsidR="00C1045C" w:rsidRPr="00C1045C" w:rsidRDefault="00C1045C" w:rsidP="00C1045C">
      <w:pPr>
        <w:rPr>
          <w:b/>
          <w:bCs/>
        </w:rPr>
      </w:pPr>
      <w:r w:rsidRPr="00C1045C">
        <w:rPr>
          <w:b/>
          <w:bCs/>
        </w:rPr>
        <w:t>Conceptos Financieros Clave</w:t>
      </w:r>
    </w:p>
    <w:p w14:paraId="669C089E" w14:textId="77777777" w:rsidR="00C1045C" w:rsidRPr="00C1045C" w:rsidRDefault="00C1045C" w:rsidP="00C1045C">
      <w:pPr>
        <w:numPr>
          <w:ilvl w:val="0"/>
          <w:numId w:val="4"/>
        </w:numPr>
      </w:pPr>
      <w:r w:rsidRPr="00C1045C">
        <w:rPr>
          <w:b/>
          <w:bCs/>
        </w:rPr>
        <w:t>Demandante de Valores:</w:t>
      </w:r>
      <w:r w:rsidRPr="00C1045C">
        <w:t xml:space="preserve"> Agente económico que concurre al mercado con capital líquido para comprar instrumentos financieros (acciones, deuda, etc.).</w:t>
      </w:r>
    </w:p>
    <w:p w14:paraId="0B038C9D" w14:textId="77777777" w:rsidR="00C1045C" w:rsidRPr="00C1045C" w:rsidRDefault="00C1045C" w:rsidP="00C1045C">
      <w:pPr>
        <w:numPr>
          <w:ilvl w:val="0"/>
          <w:numId w:val="4"/>
        </w:numPr>
      </w:pPr>
      <w:r w:rsidRPr="00C1045C">
        <w:rPr>
          <w:b/>
          <w:bCs/>
        </w:rPr>
        <w:t>Sociedad Anónima Especial:</w:t>
      </w:r>
      <w:r w:rsidRPr="00C1045C">
        <w:t xml:space="preserve"> Tipo de sociedad sujeta a regulaciones más estrictas que una S.A. ordinaria debido al impacto público de su giro (manejo de ahorro de terceros).</w:t>
      </w:r>
    </w:p>
    <w:p w14:paraId="22361623" w14:textId="77777777" w:rsidR="00C1045C" w:rsidRPr="00C1045C" w:rsidRDefault="00C1045C" w:rsidP="00C1045C">
      <w:pPr>
        <w:numPr>
          <w:ilvl w:val="0"/>
          <w:numId w:val="4"/>
        </w:numPr>
      </w:pPr>
      <w:r w:rsidRPr="00C1045C">
        <w:rPr>
          <w:b/>
          <w:bCs/>
        </w:rPr>
        <w:lastRenderedPageBreak/>
        <w:t>Por cuenta y riesgo del aportante:</w:t>
      </w:r>
      <w:r w:rsidRPr="00C1045C">
        <w:t xml:space="preserve"> Principio jurídico que establece que las ganancias y pérdidas de las inversiones recaen sobre el cliente, eximiendo a la administradora de garantizar retornos (salvo negligencia comprobada).</w:t>
      </w:r>
    </w:p>
    <w:p w14:paraId="0FFC11E9" w14:textId="77777777" w:rsidR="00C1045C" w:rsidRPr="00C1045C" w:rsidRDefault="00C1045C" w:rsidP="00C1045C">
      <w:r w:rsidRPr="00C1045C">
        <w:pict w14:anchorId="200C477F">
          <v:rect id="_x0000_i1064" style="width:0;height:1.5pt" o:hralign="center" o:hrstd="t" o:hr="t" fillcolor="#a0a0a0" stroked="f"/>
        </w:pict>
      </w:r>
    </w:p>
    <w:p w14:paraId="5447DF46" w14:textId="77777777" w:rsidR="00C1045C" w:rsidRPr="00C1045C" w:rsidRDefault="00C1045C" w:rsidP="00C1045C">
      <w:pPr>
        <w:rPr>
          <w:b/>
          <w:bCs/>
        </w:rPr>
      </w:pPr>
      <w:r w:rsidRPr="00C1045C">
        <w:rPr>
          <w:b/>
          <w:bCs/>
        </w:rPr>
        <w:t>Conclusiones / Ideas Principales</w:t>
      </w:r>
    </w:p>
    <w:p w14:paraId="644D7325" w14:textId="77777777" w:rsidR="00C1045C" w:rsidRPr="00C1045C" w:rsidRDefault="00C1045C" w:rsidP="00C1045C">
      <w:pPr>
        <w:numPr>
          <w:ilvl w:val="0"/>
          <w:numId w:val="5"/>
        </w:numPr>
      </w:pPr>
      <w:r w:rsidRPr="00C1045C">
        <w:t xml:space="preserve">Las AGF son el </w:t>
      </w:r>
      <w:r w:rsidRPr="00C1045C">
        <w:rPr>
          <w:b/>
          <w:bCs/>
        </w:rPr>
        <w:t>motor institucional</w:t>
      </w:r>
      <w:r w:rsidRPr="00C1045C">
        <w:t xml:space="preserve"> de la industria de fondos; sin ellas, el inversionista minorista no tendría acceso eficiente a carteras diversificadas.</w:t>
      </w:r>
    </w:p>
    <w:p w14:paraId="0A472FCE" w14:textId="77777777" w:rsidR="00C1045C" w:rsidRPr="00C1045C" w:rsidRDefault="00C1045C" w:rsidP="00C1045C">
      <w:pPr>
        <w:numPr>
          <w:ilvl w:val="0"/>
          <w:numId w:val="5"/>
        </w:numPr>
      </w:pPr>
      <w:r w:rsidRPr="00C1045C">
        <w:t xml:space="preserve">La normativa prioriza la </w:t>
      </w:r>
      <w:r w:rsidRPr="00C1045C">
        <w:rPr>
          <w:b/>
          <w:bCs/>
        </w:rPr>
        <w:t>protección del consumidor financiero</w:t>
      </w:r>
      <w:r w:rsidRPr="00C1045C">
        <w:t>, imponiendo altos estándares de capital propio (10.000 UF) y fiscalización irrestricta.</w:t>
      </w:r>
    </w:p>
    <w:p w14:paraId="6801B1BF" w14:textId="77777777" w:rsidR="00C1045C" w:rsidRPr="00C1045C" w:rsidRDefault="00C1045C" w:rsidP="00C1045C">
      <w:pPr>
        <w:numPr>
          <w:ilvl w:val="0"/>
          <w:numId w:val="5"/>
        </w:numPr>
      </w:pPr>
      <w:r w:rsidRPr="00C1045C">
        <w:t xml:space="preserve">El modelo de negocio de una AGF se basa en el </w:t>
      </w:r>
      <w:r w:rsidRPr="00C1045C">
        <w:rPr>
          <w:b/>
          <w:bCs/>
        </w:rPr>
        <w:t>volumen administrado</w:t>
      </w:r>
      <w:r w:rsidRPr="00C1045C">
        <w:t>, cobrando una remuneración porcentual por la gestión experta de las carteras.</w:t>
      </w:r>
    </w:p>
    <w:p w14:paraId="240CEA45" w14:textId="77777777" w:rsidR="00C1045C" w:rsidRPr="00C1045C" w:rsidRDefault="00C1045C" w:rsidP="00C1045C">
      <w:r w:rsidRPr="00C1045C">
        <w:pict w14:anchorId="121F8C89">
          <v:rect id="_x0000_i1065" style="width:0;height:1.5pt" o:hralign="center" o:hrstd="t" o:hr="t" fillcolor="#a0a0a0" stroked="f"/>
        </w:pict>
      </w:r>
    </w:p>
    <w:p w14:paraId="1E84128A" w14:textId="77777777" w:rsidR="00C1045C" w:rsidRPr="00C1045C" w:rsidRDefault="00C1045C" w:rsidP="00C1045C">
      <w:pPr>
        <w:rPr>
          <w:b/>
          <w:bCs/>
        </w:rPr>
      </w:pPr>
      <w:r w:rsidRPr="00C1045C">
        <w:rPr>
          <w:b/>
          <w:bCs/>
        </w:rPr>
        <w:t>Supuestos, Riesgos o Consideraciones Relevantes</w:t>
      </w:r>
    </w:p>
    <w:p w14:paraId="4BC7F7D2" w14:textId="77777777" w:rsidR="00C1045C" w:rsidRPr="00C1045C" w:rsidRDefault="00C1045C" w:rsidP="00C1045C">
      <w:pPr>
        <w:numPr>
          <w:ilvl w:val="0"/>
          <w:numId w:val="6"/>
        </w:numPr>
      </w:pPr>
      <w:r w:rsidRPr="00C1045C">
        <w:rPr>
          <w:b/>
          <w:bCs/>
        </w:rPr>
        <w:t>Riesgo de Liquidación:</w:t>
      </w:r>
      <w:r w:rsidRPr="00C1045C">
        <w:t xml:space="preserve"> El requisito de mantener al menos un fondo viable tras el primer año demuestra que la ley no permite "AGFs fantasma" o inactivas; operan bajo la presión de ser comercialmente viables rápidamente.</w:t>
      </w:r>
    </w:p>
    <w:p w14:paraId="517B1C43" w14:textId="77777777" w:rsidR="00C1045C" w:rsidRPr="00C1045C" w:rsidRDefault="00C1045C" w:rsidP="00C1045C">
      <w:pPr>
        <w:numPr>
          <w:ilvl w:val="0"/>
          <w:numId w:val="6"/>
        </w:numPr>
      </w:pPr>
      <w:r w:rsidRPr="00C1045C">
        <w:rPr>
          <w:b/>
          <w:bCs/>
        </w:rPr>
        <w:t>Riesgo Operacional y Fiduciario:</w:t>
      </w:r>
      <w:r w:rsidRPr="00C1045C">
        <w:t xml:space="preserve"> Si la AGF no cuenta con los controles internos exigidos, se expone a multas de la CMF o a demandas por incumplimiento en el resguardo de los recursos de los fondos.</w:t>
      </w:r>
    </w:p>
    <w:p w14:paraId="7AF82288" w14:textId="77777777" w:rsidR="00C1045C" w:rsidRPr="00C1045C" w:rsidRDefault="00C1045C" w:rsidP="00C1045C">
      <w:r w:rsidRPr="00C1045C">
        <w:pict w14:anchorId="5F5F1C7D">
          <v:rect id="_x0000_i1066" style="width:0;height:1.5pt" o:hralign="center" o:hrstd="t" o:hr="t" fillcolor="#a0a0a0" stroked="f"/>
        </w:pict>
      </w:r>
    </w:p>
    <w:p w14:paraId="1C51C6B3" w14:textId="77777777" w:rsidR="00C1045C" w:rsidRPr="00C1045C" w:rsidRDefault="00C1045C" w:rsidP="00C1045C">
      <w:pPr>
        <w:rPr>
          <w:b/>
          <w:bCs/>
        </w:rPr>
      </w:pPr>
      <w:proofErr w:type="gramStart"/>
      <w:r w:rsidRPr="00C1045C">
        <w:rPr>
          <w:b/>
          <w:bCs/>
        </w:rPr>
        <w:t>Puntos a Aclarar</w:t>
      </w:r>
      <w:proofErr w:type="gramEnd"/>
      <w:r w:rsidRPr="00C1045C">
        <w:rPr>
          <w:b/>
          <w:bCs/>
        </w:rPr>
        <w:t xml:space="preserve"> o Información Faltante</w:t>
      </w:r>
    </w:p>
    <w:p w14:paraId="08408E48" w14:textId="77777777" w:rsidR="00C1045C" w:rsidRPr="00C1045C" w:rsidRDefault="00C1045C" w:rsidP="00C1045C">
      <w:pPr>
        <w:numPr>
          <w:ilvl w:val="0"/>
          <w:numId w:val="7"/>
        </w:numPr>
      </w:pPr>
      <w:r w:rsidRPr="00C1045C">
        <w:rPr>
          <w:b/>
          <w:bCs/>
        </w:rPr>
        <w:t>Cálculo del Patrimonio:</w:t>
      </w:r>
      <w:r w:rsidRPr="00C1045C">
        <w:t xml:space="preserve"> El texto indica que el patrimonio de 10.000 UF debe calcularse "en la forma que determine la CMF", pero no detalla qué activos son elegibles para cumplir esta cuota (ej. </w:t>
      </w:r>
      <w:proofErr w:type="spellStart"/>
      <w:r w:rsidRPr="00C1045C">
        <w:t>si</w:t>
      </w:r>
      <w:proofErr w:type="spellEnd"/>
      <w:r w:rsidRPr="00C1045C">
        <w:t xml:space="preserve"> requiere alta liquidez).</w:t>
      </w:r>
    </w:p>
    <w:p w14:paraId="2F9F1E0C" w14:textId="77777777" w:rsidR="00C1045C" w:rsidRPr="00C1045C" w:rsidRDefault="00C1045C" w:rsidP="00C1045C">
      <w:pPr>
        <w:numPr>
          <w:ilvl w:val="0"/>
          <w:numId w:val="7"/>
        </w:numPr>
      </w:pPr>
      <w:r w:rsidRPr="00C1045C">
        <w:rPr>
          <w:b/>
          <w:bCs/>
        </w:rPr>
        <w:t>Gestión de Carteras de Terceros:</w:t>
      </w:r>
      <w:r w:rsidRPr="00C1045C">
        <w:t xml:space="preserve"> Se menciona la administración de "Carteras de Terceros", pero no se profundiza en las diferencias entre este servicio (generalmente </w:t>
      </w:r>
      <w:proofErr w:type="spellStart"/>
      <w:r w:rsidRPr="00C1045C">
        <w:rPr>
          <w:i/>
          <w:iCs/>
        </w:rPr>
        <w:t>wealth</w:t>
      </w:r>
      <w:proofErr w:type="spellEnd"/>
      <w:r w:rsidRPr="00C1045C">
        <w:rPr>
          <w:i/>
          <w:iCs/>
        </w:rPr>
        <w:t xml:space="preserve"> </w:t>
      </w:r>
      <w:proofErr w:type="spellStart"/>
      <w:r w:rsidRPr="00C1045C">
        <w:rPr>
          <w:i/>
          <w:iCs/>
        </w:rPr>
        <w:t>management</w:t>
      </w:r>
      <w:proofErr w:type="spellEnd"/>
      <w:r w:rsidRPr="00C1045C">
        <w:t xml:space="preserve"> personalizado) y los fondos colectivos (mutuos/inversión).</w:t>
      </w:r>
    </w:p>
    <w:p w14:paraId="4D43E36E" w14:textId="0DCF8DC6" w:rsidR="000D1EDE" w:rsidRDefault="00C1045C" w:rsidP="00C1045C">
      <w:pPr>
        <w:numPr>
          <w:ilvl w:val="0"/>
          <w:numId w:val="7"/>
        </w:numPr>
      </w:pPr>
      <w:r w:rsidRPr="00C1045C">
        <w:rPr>
          <w:b/>
          <w:bCs/>
        </w:rPr>
        <w:t>Causales de Intervención:</w:t>
      </w:r>
      <w:r w:rsidRPr="00C1045C">
        <w:t xml:space="preserve"> No se detallan las medidas específicas que la CMF puede ordenar para "corregir deficiencias", como el nombramiento de un administrador delegado o la suspensión de rescates.</w:t>
      </w:r>
    </w:p>
    <w:sectPr w:rsidR="000D1ED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54170"/>
    <w:multiLevelType w:val="multilevel"/>
    <w:tmpl w:val="6F96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FE175C"/>
    <w:multiLevelType w:val="multilevel"/>
    <w:tmpl w:val="BD14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FD7310"/>
    <w:multiLevelType w:val="multilevel"/>
    <w:tmpl w:val="14C6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751FAB"/>
    <w:multiLevelType w:val="multilevel"/>
    <w:tmpl w:val="5938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755D7F"/>
    <w:multiLevelType w:val="multilevel"/>
    <w:tmpl w:val="56EC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195DEE"/>
    <w:multiLevelType w:val="multilevel"/>
    <w:tmpl w:val="93F8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FD1DB7"/>
    <w:multiLevelType w:val="multilevel"/>
    <w:tmpl w:val="3D40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9416524">
    <w:abstractNumId w:val="5"/>
  </w:num>
  <w:num w:numId="2" w16cid:durableId="1659571431">
    <w:abstractNumId w:val="4"/>
  </w:num>
  <w:num w:numId="3" w16cid:durableId="774447490">
    <w:abstractNumId w:val="1"/>
  </w:num>
  <w:num w:numId="4" w16cid:durableId="413092347">
    <w:abstractNumId w:val="0"/>
  </w:num>
  <w:num w:numId="5" w16cid:durableId="1783111446">
    <w:abstractNumId w:val="6"/>
  </w:num>
  <w:num w:numId="6" w16cid:durableId="119299496">
    <w:abstractNumId w:val="3"/>
  </w:num>
  <w:num w:numId="7" w16cid:durableId="4512480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6C1"/>
    <w:rsid w:val="00071C90"/>
    <w:rsid w:val="000D1EDE"/>
    <w:rsid w:val="00320D26"/>
    <w:rsid w:val="00414AB1"/>
    <w:rsid w:val="006473F9"/>
    <w:rsid w:val="00736F93"/>
    <w:rsid w:val="007876C1"/>
    <w:rsid w:val="007B6952"/>
    <w:rsid w:val="00C1045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4D4EC"/>
  <w15:chartTrackingRefBased/>
  <w15:docId w15:val="{957D0D0C-BF21-4651-A551-1B543A85B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876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876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876C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876C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876C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876C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876C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876C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876C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76C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876C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876C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876C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876C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876C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876C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876C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876C1"/>
    <w:rPr>
      <w:rFonts w:eastAsiaTheme="majorEastAsia" w:cstheme="majorBidi"/>
      <w:color w:val="272727" w:themeColor="text1" w:themeTint="D8"/>
    </w:rPr>
  </w:style>
  <w:style w:type="paragraph" w:styleId="Ttulo">
    <w:name w:val="Title"/>
    <w:basedOn w:val="Normal"/>
    <w:next w:val="Normal"/>
    <w:link w:val="TtuloCar"/>
    <w:uiPriority w:val="10"/>
    <w:qFormat/>
    <w:rsid w:val="007876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876C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876C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876C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876C1"/>
    <w:pPr>
      <w:spacing w:before="160"/>
      <w:jc w:val="center"/>
    </w:pPr>
    <w:rPr>
      <w:i/>
      <w:iCs/>
      <w:color w:val="404040" w:themeColor="text1" w:themeTint="BF"/>
    </w:rPr>
  </w:style>
  <w:style w:type="character" w:customStyle="1" w:styleId="CitaCar">
    <w:name w:val="Cita Car"/>
    <w:basedOn w:val="Fuentedeprrafopredeter"/>
    <w:link w:val="Cita"/>
    <w:uiPriority w:val="29"/>
    <w:rsid w:val="007876C1"/>
    <w:rPr>
      <w:i/>
      <w:iCs/>
      <w:color w:val="404040" w:themeColor="text1" w:themeTint="BF"/>
    </w:rPr>
  </w:style>
  <w:style w:type="paragraph" w:styleId="Prrafodelista">
    <w:name w:val="List Paragraph"/>
    <w:basedOn w:val="Normal"/>
    <w:uiPriority w:val="34"/>
    <w:qFormat/>
    <w:rsid w:val="007876C1"/>
    <w:pPr>
      <w:ind w:left="720"/>
      <w:contextualSpacing/>
    </w:pPr>
  </w:style>
  <w:style w:type="character" w:styleId="nfasisintenso">
    <w:name w:val="Intense Emphasis"/>
    <w:basedOn w:val="Fuentedeprrafopredeter"/>
    <w:uiPriority w:val="21"/>
    <w:qFormat/>
    <w:rsid w:val="007876C1"/>
    <w:rPr>
      <w:i/>
      <w:iCs/>
      <w:color w:val="0F4761" w:themeColor="accent1" w:themeShade="BF"/>
    </w:rPr>
  </w:style>
  <w:style w:type="paragraph" w:styleId="Citadestacada">
    <w:name w:val="Intense Quote"/>
    <w:basedOn w:val="Normal"/>
    <w:next w:val="Normal"/>
    <w:link w:val="CitadestacadaCar"/>
    <w:uiPriority w:val="30"/>
    <w:qFormat/>
    <w:rsid w:val="007876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876C1"/>
    <w:rPr>
      <w:i/>
      <w:iCs/>
      <w:color w:val="0F4761" w:themeColor="accent1" w:themeShade="BF"/>
    </w:rPr>
  </w:style>
  <w:style w:type="character" w:styleId="Referenciaintensa">
    <w:name w:val="Intense Reference"/>
    <w:basedOn w:val="Fuentedeprrafopredeter"/>
    <w:uiPriority w:val="32"/>
    <w:qFormat/>
    <w:rsid w:val="007876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845</Words>
  <Characters>4650</Characters>
  <Application>Microsoft Office Word</Application>
  <DocSecurity>0</DocSecurity>
  <Lines>38</Lines>
  <Paragraphs>10</Paragraphs>
  <ScaleCrop>false</ScaleCrop>
  <Company/>
  <LinksUpToDate>false</LinksUpToDate>
  <CharactersWithSpaces>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MOREIRA ITURRIETA YOHAN A</dc:creator>
  <cp:keywords/>
  <dc:description/>
  <cp:lastModifiedBy>MOREIRA ITURRIETA YOHAN A</cp:lastModifiedBy>
  <cp:revision>2</cp:revision>
  <dcterms:created xsi:type="dcterms:W3CDTF">2026-05-06T22:54:00Z</dcterms:created>
  <dcterms:modified xsi:type="dcterms:W3CDTF">2026-05-06T22:54:00Z</dcterms:modified>
</cp:coreProperties>
</file>