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8B8D" w14:textId="77777777" w:rsidR="00076596" w:rsidRPr="00076596" w:rsidRDefault="00076596" w:rsidP="00076596">
      <w:pPr>
        <w:rPr>
          <w:b/>
          <w:bCs/>
        </w:rPr>
      </w:pPr>
      <w:r w:rsidRPr="00076596">
        <w:rPr>
          <w:b/>
          <w:bCs/>
        </w:rPr>
        <w:t>Naturaleza y Obligaciones de los Emisores de Valores de Oferta Pública</w:t>
      </w:r>
    </w:p>
    <w:p w14:paraId="7A8C8BE4" w14:textId="77777777" w:rsidR="00076596" w:rsidRPr="00076596" w:rsidRDefault="00076596" w:rsidP="00076596">
      <w:pPr>
        <w:rPr>
          <w:b/>
          <w:bCs/>
        </w:rPr>
      </w:pPr>
      <w:r w:rsidRPr="00076596">
        <w:rPr>
          <w:b/>
          <w:bCs/>
        </w:rPr>
        <w:t>Resumen ejecutivo</w:t>
      </w:r>
    </w:p>
    <w:p w14:paraId="7CDFAAB4" w14:textId="77777777" w:rsidR="00076596" w:rsidRPr="00076596" w:rsidRDefault="00076596" w:rsidP="00076596">
      <w:r w:rsidRPr="00076596">
        <w:t>Los emisores de valores son entidades que acuden al mercado de capitales para financiar sus proyectos de inversión mediante la emisión de títulos de capital (acciones) o de deuda. Esta categoría abarca desde sociedades anónimas y bancos hasta organismos del Estado. Su funcionamiento está condicionado a la inscripción previa en el Registro de Valores de la Comisión para el Mercado Financiero (CMF) y al cumplimiento de estrictos regímenes de entrega de información continua para garantizar la transparencia ante el mercado y los inversionistas.</w:t>
      </w:r>
    </w:p>
    <w:p w14:paraId="2BA4A56A" w14:textId="77777777" w:rsidR="00076596" w:rsidRPr="00076596" w:rsidRDefault="00076596" w:rsidP="00076596">
      <w:r w:rsidRPr="00076596">
        <w:pict w14:anchorId="2F83C262">
          <v:rect id="_x0000_i1049" style="width:0;height:1.5pt" o:hralign="center" o:hrstd="t" o:hr="t" fillcolor="#a0a0a0" stroked="f"/>
        </w:pict>
      </w:r>
    </w:p>
    <w:p w14:paraId="666AAE3E" w14:textId="77777777" w:rsidR="00076596" w:rsidRPr="00076596" w:rsidRDefault="00076596" w:rsidP="00076596">
      <w:pPr>
        <w:rPr>
          <w:b/>
          <w:bCs/>
        </w:rPr>
      </w:pPr>
      <w:r w:rsidRPr="00076596">
        <w:rPr>
          <w:b/>
          <w:bCs/>
        </w:rPr>
        <w:t>Contexto / Antecedentes</w:t>
      </w:r>
    </w:p>
    <w:p w14:paraId="25AB7F74" w14:textId="77777777" w:rsidR="00076596" w:rsidRPr="00076596" w:rsidRDefault="00076596" w:rsidP="00076596">
      <w:r w:rsidRPr="00076596">
        <w:t>En el ecosistema financiero, los emisores representan la oferta de instrumentos. Al buscar financiamiento directo de terceros, estas entidades se someten a un marco regulatorio compuesto por la Ley de Mercado de Valores, la Ley de Sociedades Anónimas y las normativas específicas de la CMF. Este marco busca proteger a los inversionistas asegurando que la información financiera y legal de quienes captan los recursos sea pública y fidedigna.</w:t>
      </w:r>
    </w:p>
    <w:p w14:paraId="3F455371" w14:textId="77777777" w:rsidR="00076596" w:rsidRPr="00076596" w:rsidRDefault="00076596" w:rsidP="00076596">
      <w:r w:rsidRPr="00076596">
        <w:pict w14:anchorId="6CC4E877">
          <v:rect id="_x0000_i1050" style="width:0;height:1.5pt" o:hralign="center" o:hrstd="t" o:hr="t" fillcolor="#a0a0a0" stroked="f"/>
        </w:pict>
      </w:r>
    </w:p>
    <w:p w14:paraId="619EE8C5" w14:textId="77777777" w:rsidR="00076596" w:rsidRPr="00076596" w:rsidRDefault="00076596" w:rsidP="00076596">
      <w:pPr>
        <w:rPr>
          <w:b/>
          <w:bCs/>
        </w:rPr>
      </w:pPr>
      <w:r w:rsidRPr="00076596">
        <w:rPr>
          <w:b/>
          <w:bCs/>
        </w:rPr>
        <w:t>Desarrollo del contenido</w:t>
      </w:r>
    </w:p>
    <w:p w14:paraId="2854BBCA" w14:textId="77777777" w:rsidR="00076596" w:rsidRPr="00076596" w:rsidRDefault="00076596" w:rsidP="00076596">
      <w:pPr>
        <w:rPr>
          <w:b/>
          <w:bCs/>
        </w:rPr>
      </w:pPr>
      <w:r w:rsidRPr="00076596">
        <w:rPr>
          <w:b/>
          <w:bCs/>
        </w:rPr>
        <w:t>Sección 1: Clasificación de los Emisores</w:t>
      </w:r>
    </w:p>
    <w:p w14:paraId="55B4EF47" w14:textId="77777777" w:rsidR="00076596" w:rsidRPr="00076596" w:rsidRDefault="00076596" w:rsidP="00076596">
      <w:r w:rsidRPr="00076596">
        <w:t>El espectro de entidades facultadas para emitir valores de oferta pública es amplio y diverso:</w:t>
      </w:r>
    </w:p>
    <w:p w14:paraId="194C47CB" w14:textId="77777777" w:rsidR="00076596" w:rsidRPr="00076596" w:rsidRDefault="00076596" w:rsidP="00076596">
      <w:pPr>
        <w:numPr>
          <w:ilvl w:val="0"/>
          <w:numId w:val="1"/>
        </w:numPr>
      </w:pPr>
      <w:r w:rsidRPr="00076596">
        <w:rPr>
          <w:b/>
          <w:bCs/>
        </w:rPr>
        <w:t>Sector Privado:</w:t>
      </w:r>
    </w:p>
    <w:p w14:paraId="1E6AF7C9" w14:textId="77777777" w:rsidR="00076596" w:rsidRPr="00076596" w:rsidRDefault="00076596" w:rsidP="00076596">
      <w:pPr>
        <w:numPr>
          <w:ilvl w:val="1"/>
          <w:numId w:val="1"/>
        </w:numPr>
      </w:pPr>
      <w:r w:rsidRPr="00076596">
        <w:rPr>
          <w:b/>
          <w:bCs/>
        </w:rPr>
        <w:t>Sociedades Anónimas Abiertas (SAA):</w:t>
      </w:r>
      <w:r w:rsidRPr="00076596">
        <w:t xml:space="preserve"> Principales emisores de acciones y deuda.</w:t>
      </w:r>
    </w:p>
    <w:p w14:paraId="08B0A6F9" w14:textId="77777777" w:rsidR="00076596" w:rsidRPr="00076596" w:rsidRDefault="00076596" w:rsidP="00076596">
      <w:pPr>
        <w:numPr>
          <w:ilvl w:val="1"/>
          <w:numId w:val="1"/>
        </w:numPr>
      </w:pPr>
      <w:r w:rsidRPr="00076596">
        <w:rPr>
          <w:b/>
          <w:bCs/>
        </w:rPr>
        <w:t>Sociedades Anónimas Cerradas:</w:t>
      </w:r>
      <w:r w:rsidRPr="00076596">
        <w:t xml:space="preserve"> Bajo ciertas condiciones de oferta pública.</w:t>
      </w:r>
    </w:p>
    <w:p w14:paraId="7C0266D6" w14:textId="77777777" w:rsidR="00076596" w:rsidRPr="00076596" w:rsidRDefault="00076596" w:rsidP="00076596">
      <w:pPr>
        <w:numPr>
          <w:ilvl w:val="1"/>
          <w:numId w:val="1"/>
        </w:numPr>
      </w:pPr>
      <w:r w:rsidRPr="00076596">
        <w:rPr>
          <w:b/>
          <w:bCs/>
        </w:rPr>
        <w:t>Bancos e Instituciones Financieras.</w:t>
      </w:r>
    </w:p>
    <w:p w14:paraId="03300B6B" w14:textId="77777777" w:rsidR="00076596" w:rsidRPr="00076596" w:rsidRDefault="00076596" w:rsidP="00076596">
      <w:pPr>
        <w:numPr>
          <w:ilvl w:val="0"/>
          <w:numId w:val="1"/>
        </w:numPr>
      </w:pPr>
      <w:r w:rsidRPr="00076596">
        <w:rPr>
          <w:b/>
          <w:bCs/>
        </w:rPr>
        <w:t>Fondos de Terceros:</w:t>
      </w:r>
      <w:r w:rsidRPr="00076596">
        <w:t xml:space="preserve"> Fondos administrados por Administradoras Generales de Fondos (AGF), excluyendo los Fondos de Pensiones.</w:t>
      </w:r>
    </w:p>
    <w:p w14:paraId="6532BC18" w14:textId="77777777" w:rsidR="00076596" w:rsidRPr="00076596" w:rsidRDefault="00076596" w:rsidP="00076596">
      <w:pPr>
        <w:numPr>
          <w:ilvl w:val="0"/>
          <w:numId w:val="1"/>
        </w:numPr>
      </w:pPr>
      <w:r w:rsidRPr="00076596">
        <w:rPr>
          <w:b/>
          <w:bCs/>
        </w:rPr>
        <w:t>Sector Público (Estado):</w:t>
      </w:r>
    </w:p>
    <w:p w14:paraId="6666D5B6" w14:textId="77777777" w:rsidR="00076596" w:rsidRPr="00076596" w:rsidRDefault="00076596" w:rsidP="00076596">
      <w:pPr>
        <w:numPr>
          <w:ilvl w:val="1"/>
          <w:numId w:val="1"/>
        </w:numPr>
      </w:pPr>
      <w:r w:rsidRPr="00076596">
        <w:lastRenderedPageBreak/>
        <w:t>Banco Central de Chile.</w:t>
      </w:r>
    </w:p>
    <w:p w14:paraId="122194AA" w14:textId="77777777" w:rsidR="00076596" w:rsidRPr="00076596" w:rsidRDefault="00076596" w:rsidP="00076596">
      <w:pPr>
        <w:numPr>
          <w:ilvl w:val="1"/>
          <w:numId w:val="1"/>
        </w:numPr>
      </w:pPr>
      <w:r w:rsidRPr="00076596">
        <w:t>Tesorería General de la República.</w:t>
      </w:r>
    </w:p>
    <w:p w14:paraId="2D5106AA" w14:textId="77777777" w:rsidR="00076596" w:rsidRPr="00076596" w:rsidRDefault="00076596" w:rsidP="00076596">
      <w:pPr>
        <w:numPr>
          <w:ilvl w:val="1"/>
          <w:numId w:val="1"/>
        </w:numPr>
      </w:pPr>
      <w:r w:rsidRPr="00076596">
        <w:t>Instituto de Previsión Social (IPS).</w:t>
      </w:r>
    </w:p>
    <w:p w14:paraId="1879777C" w14:textId="77777777" w:rsidR="00076596" w:rsidRPr="00076596" w:rsidRDefault="00076596" w:rsidP="00076596">
      <w:pPr>
        <w:rPr>
          <w:b/>
          <w:bCs/>
        </w:rPr>
      </w:pPr>
      <w:r w:rsidRPr="00076596">
        <w:rPr>
          <w:b/>
          <w:bCs/>
        </w:rPr>
        <w:t>Sección 2: Mecanismos de Financiamiento e Instrumentos</w:t>
      </w:r>
    </w:p>
    <w:p w14:paraId="06E98DB7" w14:textId="77777777" w:rsidR="00076596" w:rsidRPr="00076596" w:rsidRDefault="00076596" w:rsidP="00076596">
      <w:r w:rsidRPr="00076596">
        <w:t>Los emisores seleccionan el instrumento según sus necesidades de capital y el perfil de su proyecto:</w:t>
      </w:r>
    </w:p>
    <w:p w14:paraId="48EE6BC3" w14:textId="77777777" w:rsidR="00076596" w:rsidRPr="00076596" w:rsidRDefault="00076596" w:rsidP="00076596">
      <w:pPr>
        <w:numPr>
          <w:ilvl w:val="0"/>
          <w:numId w:val="2"/>
        </w:numPr>
      </w:pPr>
      <w:r w:rsidRPr="00076596">
        <w:rPr>
          <w:b/>
          <w:bCs/>
        </w:rPr>
        <w:t>Emisión de Acciones:</w:t>
      </w:r>
      <w:r w:rsidRPr="00076596">
        <w:t xml:space="preserve"> Representan capital propio y otorgan participación en la propiedad.</w:t>
      </w:r>
    </w:p>
    <w:p w14:paraId="7DA90036" w14:textId="77777777" w:rsidR="00076596" w:rsidRPr="00076596" w:rsidRDefault="00076596" w:rsidP="00076596">
      <w:pPr>
        <w:numPr>
          <w:ilvl w:val="0"/>
          <w:numId w:val="2"/>
        </w:numPr>
      </w:pPr>
      <w:r w:rsidRPr="00076596">
        <w:rPr>
          <w:b/>
          <w:bCs/>
        </w:rPr>
        <w:t>Títulos de Deuda:</w:t>
      </w:r>
      <w:r w:rsidRPr="00076596">
        <w:t xml:space="preserve"> Representan pasivos que el emisor se compromete a pagar. Incluyen:</w:t>
      </w:r>
    </w:p>
    <w:p w14:paraId="577A18CB" w14:textId="77777777" w:rsidR="00076596" w:rsidRPr="00076596" w:rsidRDefault="00076596" w:rsidP="00076596">
      <w:pPr>
        <w:numPr>
          <w:ilvl w:val="1"/>
          <w:numId w:val="2"/>
        </w:numPr>
      </w:pPr>
      <w:r w:rsidRPr="00076596">
        <w:rPr>
          <w:b/>
          <w:bCs/>
        </w:rPr>
        <w:t>Bonos:</w:t>
      </w:r>
      <w:r w:rsidRPr="00076596">
        <w:t xml:space="preserve"> Instrumentos de mediano y largo plazo.</w:t>
      </w:r>
    </w:p>
    <w:p w14:paraId="02160349" w14:textId="77777777" w:rsidR="00076596" w:rsidRPr="00076596" w:rsidRDefault="00076596" w:rsidP="00076596">
      <w:pPr>
        <w:numPr>
          <w:ilvl w:val="1"/>
          <w:numId w:val="2"/>
        </w:numPr>
      </w:pPr>
      <w:r w:rsidRPr="00076596">
        <w:rPr>
          <w:b/>
          <w:bCs/>
        </w:rPr>
        <w:t>Efectos de comercio:</w:t>
      </w:r>
      <w:r w:rsidRPr="00076596">
        <w:t xml:space="preserve"> Instrumentos de corto plazo.</w:t>
      </w:r>
    </w:p>
    <w:p w14:paraId="2188AB56" w14:textId="77777777" w:rsidR="00076596" w:rsidRPr="00076596" w:rsidRDefault="00076596" w:rsidP="00076596">
      <w:pPr>
        <w:rPr>
          <w:b/>
          <w:bCs/>
        </w:rPr>
      </w:pPr>
      <w:r w:rsidRPr="00076596">
        <w:rPr>
          <w:b/>
          <w:bCs/>
        </w:rPr>
        <w:t>Sección 3: Requisitos de Registro y Divulgación</w:t>
      </w:r>
    </w:p>
    <w:p w14:paraId="1321D558" w14:textId="77777777" w:rsidR="00076596" w:rsidRPr="00076596" w:rsidRDefault="00076596" w:rsidP="00076596">
      <w:r w:rsidRPr="00076596">
        <w:t>La transparencia es una obligación legal para cualquier emisor que realice oferta pública:</w:t>
      </w:r>
    </w:p>
    <w:p w14:paraId="140245F2" w14:textId="77777777" w:rsidR="00076596" w:rsidRPr="00076596" w:rsidRDefault="00076596" w:rsidP="00076596">
      <w:pPr>
        <w:numPr>
          <w:ilvl w:val="0"/>
          <w:numId w:val="3"/>
        </w:numPr>
      </w:pPr>
      <w:r w:rsidRPr="00076596">
        <w:rPr>
          <w:b/>
          <w:bCs/>
        </w:rPr>
        <w:t>Inscripción Obligatoria:</w:t>
      </w:r>
      <w:r w:rsidRPr="00076596">
        <w:t xml:space="preserve"> Antes de cualquier oferta, los valores deben inscribirse en el </w:t>
      </w:r>
      <w:r w:rsidRPr="00076596">
        <w:rPr>
          <w:b/>
          <w:bCs/>
        </w:rPr>
        <w:t>Registro de Valores</w:t>
      </w:r>
      <w:r w:rsidRPr="00076596">
        <w:t xml:space="preserve"> de la CMF.</w:t>
      </w:r>
    </w:p>
    <w:p w14:paraId="36421880" w14:textId="77777777" w:rsidR="00076596" w:rsidRPr="00076596" w:rsidRDefault="00076596" w:rsidP="00076596">
      <w:pPr>
        <w:numPr>
          <w:ilvl w:val="0"/>
          <w:numId w:val="3"/>
        </w:numPr>
      </w:pPr>
      <w:r w:rsidRPr="00076596">
        <w:rPr>
          <w:b/>
          <w:bCs/>
        </w:rPr>
        <w:t xml:space="preserve">Información Continua (NCG </w:t>
      </w:r>
      <w:proofErr w:type="spellStart"/>
      <w:r w:rsidRPr="00076596">
        <w:rPr>
          <w:b/>
          <w:bCs/>
        </w:rPr>
        <w:t>N°</w:t>
      </w:r>
      <w:proofErr w:type="spellEnd"/>
      <w:r w:rsidRPr="00076596">
        <w:rPr>
          <w:b/>
          <w:bCs/>
        </w:rPr>
        <w:t xml:space="preserve"> 30):</w:t>
      </w:r>
      <w:r w:rsidRPr="00076596">
        <w:t xml:space="preserve"> Las entidades deben remitir periódicamente a la CMF y a los intermediarios (corredores y agentes) lo siguiente:</w:t>
      </w:r>
    </w:p>
    <w:p w14:paraId="20B2BA32" w14:textId="77777777" w:rsidR="00076596" w:rsidRPr="00076596" w:rsidRDefault="00076596" w:rsidP="00076596">
      <w:pPr>
        <w:numPr>
          <w:ilvl w:val="1"/>
          <w:numId w:val="3"/>
        </w:numPr>
      </w:pPr>
      <w:r w:rsidRPr="00076596">
        <w:t>Estados financieros (trimestrales y anuales).</w:t>
      </w:r>
    </w:p>
    <w:p w14:paraId="039DE5E3" w14:textId="77777777" w:rsidR="00076596" w:rsidRPr="00076596" w:rsidRDefault="00076596" w:rsidP="00076596">
      <w:pPr>
        <w:numPr>
          <w:ilvl w:val="1"/>
          <w:numId w:val="3"/>
        </w:numPr>
      </w:pPr>
      <w:r w:rsidRPr="00076596">
        <w:t>Memorias anuales.</w:t>
      </w:r>
    </w:p>
    <w:p w14:paraId="5B88E126" w14:textId="77777777" w:rsidR="00076596" w:rsidRPr="00076596" w:rsidRDefault="00076596" w:rsidP="00076596">
      <w:pPr>
        <w:numPr>
          <w:ilvl w:val="1"/>
          <w:numId w:val="3"/>
        </w:numPr>
      </w:pPr>
      <w:r w:rsidRPr="00076596">
        <w:t>Variaciones de capital.</w:t>
      </w:r>
    </w:p>
    <w:p w14:paraId="2D3244AD" w14:textId="77777777" w:rsidR="00076596" w:rsidRPr="00076596" w:rsidRDefault="00076596" w:rsidP="00076596">
      <w:pPr>
        <w:numPr>
          <w:ilvl w:val="1"/>
          <w:numId w:val="3"/>
        </w:numPr>
      </w:pPr>
      <w:r w:rsidRPr="00076596">
        <w:t>Antecedentes legales, económicos y financieros relevantes.</w:t>
      </w:r>
    </w:p>
    <w:p w14:paraId="7C815A77" w14:textId="77777777" w:rsidR="00076596" w:rsidRPr="00076596" w:rsidRDefault="00076596" w:rsidP="00076596">
      <w:r w:rsidRPr="00076596">
        <w:pict w14:anchorId="59170647">
          <v:rect id="_x0000_i1051" style="width:0;height:1.5pt" o:hralign="center" o:hrstd="t" o:hr="t" fillcolor="#a0a0a0" stroked="f"/>
        </w:pict>
      </w:r>
    </w:p>
    <w:p w14:paraId="09787B39" w14:textId="77777777" w:rsidR="00076596" w:rsidRPr="00076596" w:rsidRDefault="00076596" w:rsidP="00076596">
      <w:pPr>
        <w:rPr>
          <w:b/>
          <w:bCs/>
        </w:rPr>
      </w:pPr>
      <w:r w:rsidRPr="00076596">
        <w:rPr>
          <w:b/>
          <w:bCs/>
        </w:rPr>
        <w:t>Conclusiones o ideas clave</w:t>
      </w:r>
    </w:p>
    <w:p w14:paraId="6E1BF413" w14:textId="77777777" w:rsidR="00076596" w:rsidRPr="00076596" w:rsidRDefault="00076596" w:rsidP="00076596">
      <w:pPr>
        <w:numPr>
          <w:ilvl w:val="0"/>
          <w:numId w:val="4"/>
        </w:numPr>
      </w:pPr>
      <w:r w:rsidRPr="00076596">
        <w:rPr>
          <w:b/>
          <w:bCs/>
        </w:rPr>
        <w:t>Financiamiento Directo:</w:t>
      </w:r>
      <w:r w:rsidRPr="00076596">
        <w:t xml:space="preserve"> Los emisores evitan la intermediación bancaria tradicional acudiendo directamente a los inversionistas en el mercado de capitales.</w:t>
      </w:r>
    </w:p>
    <w:p w14:paraId="416F69D9" w14:textId="77777777" w:rsidR="00076596" w:rsidRPr="00076596" w:rsidRDefault="00076596" w:rsidP="00076596">
      <w:pPr>
        <w:numPr>
          <w:ilvl w:val="0"/>
          <w:numId w:val="4"/>
        </w:numPr>
      </w:pPr>
      <w:r w:rsidRPr="00076596">
        <w:rPr>
          <w:b/>
          <w:bCs/>
        </w:rPr>
        <w:lastRenderedPageBreak/>
        <w:t>Fiscalización y Fe Pública:</w:t>
      </w:r>
      <w:r w:rsidRPr="00076596">
        <w:t xml:space="preserve"> La relación con la CMF no termina con la inscripción; es un vínculo de reporte constante que sostiene la confianza del mercado.</w:t>
      </w:r>
    </w:p>
    <w:p w14:paraId="6A3C87DD" w14:textId="77777777" w:rsidR="00076596" w:rsidRPr="00076596" w:rsidRDefault="00076596" w:rsidP="00076596">
      <w:pPr>
        <w:numPr>
          <w:ilvl w:val="0"/>
          <w:numId w:val="4"/>
        </w:numPr>
      </w:pPr>
      <w:r w:rsidRPr="00076596">
        <w:rPr>
          <w:b/>
          <w:bCs/>
        </w:rPr>
        <w:t>Diversidad de Títulos:</w:t>
      </w:r>
      <w:r w:rsidRPr="00076596">
        <w:t xml:space="preserve"> Mientras el Estado y los fondos se centran en deuda, las sociedades anónimas abiertas son las únicas facultadas para dinamizar el mercado accionario.</w:t>
      </w:r>
    </w:p>
    <w:p w14:paraId="2F3527EA" w14:textId="77777777" w:rsidR="00076596" w:rsidRPr="00076596" w:rsidRDefault="00076596" w:rsidP="00076596">
      <w:r w:rsidRPr="00076596">
        <w:pict w14:anchorId="6358C51B">
          <v:rect id="_x0000_i1052" style="width:0;height:1.5pt" o:hralign="center" o:hrstd="t" o:hr="t" fillcolor="#a0a0a0" stroked="f"/>
        </w:pict>
      </w:r>
    </w:p>
    <w:p w14:paraId="254914CD" w14:textId="77777777" w:rsidR="00076596" w:rsidRPr="00076596" w:rsidRDefault="00076596" w:rsidP="00076596">
      <w:pPr>
        <w:rPr>
          <w:b/>
          <w:bCs/>
        </w:rPr>
      </w:pPr>
      <w:proofErr w:type="gramStart"/>
      <w:r w:rsidRPr="00076596">
        <w:rPr>
          <w:b/>
          <w:bCs/>
        </w:rPr>
        <w:t>Puntos a aclarar</w:t>
      </w:r>
      <w:proofErr w:type="gramEnd"/>
      <w:r w:rsidRPr="00076596">
        <w:rPr>
          <w:b/>
          <w:bCs/>
        </w:rPr>
        <w:t xml:space="preserve"> / información faltante</w:t>
      </w:r>
    </w:p>
    <w:p w14:paraId="7FAFB950" w14:textId="77777777" w:rsidR="00076596" w:rsidRPr="00076596" w:rsidRDefault="00076596" w:rsidP="00076596">
      <w:pPr>
        <w:numPr>
          <w:ilvl w:val="0"/>
          <w:numId w:val="5"/>
        </w:numPr>
      </w:pPr>
      <w:r w:rsidRPr="00076596">
        <w:rPr>
          <w:b/>
          <w:bCs/>
        </w:rPr>
        <w:t>Diferenciación S.A. Abiertas vs. Cerradas:</w:t>
      </w:r>
      <w:r w:rsidRPr="00076596">
        <w:t xml:space="preserve"> Si bien el texto las menciona a ambas, no detalla las condiciones específicas bajo las cuales una Sociedad Anónima Cerrada puede realizar oferta pública sin perder su naturaleza.</w:t>
      </w:r>
    </w:p>
    <w:p w14:paraId="13651EC9" w14:textId="77777777" w:rsidR="00076596" w:rsidRPr="00076596" w:rsidRDefault="00076596" w:rsidP="00076596">
      <w:pPr>
        <w:numPr>
          <w:ilvl w:val="0"/>
          <w:numId w:val="5"/>
        </w:numPr>
      </w:pPr>
      <w:r w:rsidRPr="00076596">
        <w:rPr>
          <w:b/>
          <w:bCs/>
        </w:rPr>
        <w:t>Plazos de NCG 30:</w:t>
      </w:r>
      <w:r w:rsidRPr="00076596">
        <w:t xml:space="preserve"> No se especifican los días exactos de plazo para la entrega de los estados financieros tras el cierre de cada ejercicio.</w:t>
      </w:r>
    </w:p>
    <w:p w14:paraId="295ACE14" w14:textId="77777777" w:rsidR="00076596" w:rsidRPr="00076596" w:rsidRDefault="00076596" w:rsidP="00076596">
      <w:pPr>
        <w:numPr>
          <w:ilvl w:val="0"/>
          <w:numId w:val="5"/>
        </w:numPr>
      </w:pPr>
      <w:r w:rsidRPr="00076596">
        <w:rPr>
          <w:b/>
          <w:bCs/>
        </w:rPr>
        <w:t>Normativa Particular:</w:t>
      </w:r>
      <w:r w:rsidRPr="00076596">
        <w:t xml:space="preserve"> Se hace referencia a que los emisores se rigen por su "normativa particular", pero no se desglosa cuáles aplican para casos específicos como el IPS o el Banco Central.</w:t>
      </w:r>
    </w:p>
    <w:p w14:paraId="7849A142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D59A3"/>
    <w:multiLevelType w:val="multilevel"/>
    <w:tmpl w:val="0986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75EBD"/>
    <w:multiLevelType w:val="multilevel"/>
    <w:tmpl w:val="846A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95A3B"/>
    <w:multiLevelType w:val="multilevel"/>
    <w:tmpl w:val="B9A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F2914"/>
    <w:multiLevelType w:val="multilevel"/>
    <w:tmpl w:val="5716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367F6"/>
    <w:multiLevelType w:val="multilevel"/>
    <w:tmpl w:val="271C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373644">
    <w:abstractNumId w:val="3"/>
  </w:num>
  <w:num w:numId="2" w16cid:durableId="395206491">
    <w:abstractNumId w:val="0"/>
  </w:num>
  <w:num w:numId="3" w16cid:durableId="1975023569">
    <w:abstractNumId w:val="4"/>
  </w:num>
  <w:num w:numId="4" w16cid:durableId="261228522">
    <w:abstractNumId w:val="2"/>
  </w:num>
  <w:num w:numId="5" w16cid:durableId="515267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14"/>
    <w:rsid w:val="00071C90"/>
    <w:rsid w:val="00076596"/>
    <w:rsid w:val="000D1EDE"/>
    <w:rsid w:val="00320D26"/>
    <w:rsid w:val="00414AB1"/>
    <w:rsid w:val="006473F9"/>
    <w:rsid w:val="00736F93"/>
    <w:rsid w:val="007F5796"/>
    <w:rsid w:val="00BB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2E6D4"/>
  <w15:chartTrackingRefBased/>
  <w15:docId w15:val="{12D7E6C0-F9E8-4AA5-A1B5-90463F61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1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1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1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1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1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1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1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1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1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1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2026-05-06T23:31:00Z</dcterms:created>
  <dcterms:modified xsi:type="dcterms:W3CDTF">2026-05-06T23:31:00Z</dcterms:modified>
</cp:coreProperties>
</file>