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D7EDC" w14:textId="77777777" w:rsidR="0084685A" w:rsidRPr="0084685A" w:rsidRDefault="0084685A" w:rsidP="0084685A">
      <w:pPr>
        <w:rPr>
          <w:b/>
          <w:bCs/>
        </w:rPr>
      </w:pPr>
      <w:r w:rsidRPr="0084685A">
        <w:rPr>
          <w:b/>
          <w:bCs/>
        </w:rPr>
        <w:t>Marco Regulatorio y Funciones de la Superintendencia de Pensiones (SP)</w:t>
      </w:r>
    </w:p>
    <w:p w14:paraId="5CA87884" w14:textId="77777777" w:rsidR="0084685A" w:rsidRPr="0084685A" w:rsidRDefault="0084685A" w:rsidP="0084685A">
      <w:pPr>
        <w:rPr>
          <w:b/>
          <w:bCs/>
        </w:rPr>
      </w:pPr>
      <w:r w:rsidRPr="0084685A">
        <w:rPr>
          <w:b/>
          <w:bCs/>
        </w:rPr>
        <w:t>Resumen ejecutivo</w:t>
      </w:r>
    </w:p>
    <w:p w14:paraId="46243B71" w14:textId="77777777" w:rsidR="0084685A" w:rsidRPr="0084685A" w:rsidRDefault="0084685A" w:rsidP="0084685A">
      <w:r w:rsidRPr="0084685A">
        <w:t>La Superintendencia de Pensiones (SP) es el organismo autónomo del Estado chileno encargado de regular y fiscalizar los pilares del sistema de seguridad social. Su labor técnica se centra en la supervigilancia del sistema de pensiones —tanto solidarias como privadas— y el seguro de cesantía. Actúa como el ente contralor que garantiza el cumplimiento normativo de las AFP, el Instituto de Previsión Social (IPS) y la Administradora de Fondos de Cesantía (AFC), velando por la correcta inversión de los recursos y el pago oportuno de los beneficios.</w:t>
      </w:r>
    </w:p>
    <w:p w14:paraId="77092F92" w14:textId="77777777" w:rsidR="0084685A" w:rsidRPr="0084685A" w:rsidRDefault="0084685A" w:rsidP="0084685A">
      <w:r w:rsidRPr="0084685A">
        <w:pict w14:anchorId="5F14B00E">
          <v:rect id="_x0000_i1049" style="width:0;height:1.5pt" o:hralign="center" o:hrstd="t" o:hr="t" fillcolor="#a0a0a0" stroked="f"/>
        </w:pict>
      </w:r>
    </w:p>
    <w:p w14:paraId="3672E5DB" w14:textId="77777777" w:rsidR="0084685A" w:rsidRPr="0084685A" w:rsidRDefault="0084685A" w:rsidP="0084685A">
      <w:pPr>
        <w:rPr>
          <w:b/>
          <w:bCs/>
        </w:rPr>
      </w:pPr>
      <w:r w:rsidRPr="0084685A">
        <w:rPr>
          <w:b/>
          <w:bCs/>
        </w:rPr>
        <w:t>Contexto / Antecedentes</w:t>
      </w:r>
    </w:p>
    <w:p w14:paraId="70E8D919" w14:textId="77777777" w:rsidR="0084685A" w:rsidRPr="0084685A" w:rsidRDefault="0084685A" w:rsidP="0084685A">
      <w:r w:rsidRPr="0084685A">
        <w:t xml:space="preserve">Dentro de la arquitectura institucional de Chile, la Superintendencia de Pensiones representa la autoridad técnica superior en materia previsional. Aunque es una entidad autónoma, mantiene una relación administrativa con el Gobierno a través del </w:t>
      </w:r>
      <w:r w:rsidRPr="0084685A">
        <w:rPr>
          <w:b/>
          <w:bCs/>
        </w:rPr>
        <w:t>Ministerio del Trabajo y Previsión Social</w:t>
      </w:r>
      <w:r w:rsidRPr="0084685A">
        <w:t xml:space="preserve">, canalizada específicamente por la </w:t>
      </w:r>
      <w:r w:rsidRPr="0084685A">
        <w:rPr>
          <w:b/>
          <w:bCs/>
        </w:rPr>
        <w:t>Subsecretaría de Previsión Social</w:t>
      </w:r>
      <w:r w:rsidRPr="0084685A">
        <w:t>. Su existencia asegura que las entidades que gestionan fondos de terceros operen bajo estándares de legalidad y eficiencia.</w:t>
      </w:r>
    </w:p>
    <w:p w14:paraId="2FDD8C6B" w14:textId="77777777" w:rsidR="0084685A" w:rsidRPr="0084685A" w:rsidRDefault="0084685A" w:rsidP="0084685A">
      <w:r w:rsidRPr="0084685A">
        <w:pict w14:anchorId="37B2F954">
          <v:rect id="_x0000_i1050" style="width:0;height:1.5pt" o:hralign="center" o:hrstd="t" o:hr="t" fillcolor="#a0a0a0" stroked="f"/>
        </w:pict>
      </w:r>
    </w:p>
    <w:p w14:paraId="6160B3EB" w14:textId="77777777" w:rsidR="0084685A" w:rsidRPr="0084685A" w:rsidRDefault="0084685A" w:rsidP="0084685A">
      <w:pPr>
        <w:rPr>
          <w:b/>
          <w:bCs/>
        </w:rPr>
      </w:pPr>
      <w:r w:rsidRPr="0084685A">
        <w:rPr>
          <w:b/>
          <w:bCs/>
        </w:rPr>
        <w:t>Desarrollo del contenido</w:t>
      </w:r>
    </w:p>
    <w:p w14:paraId="55E33069" w14:textId="77777777" w:rsidR="0084685A" w:rsidRPr="0084685A" w:rsidRDefault="0084685A" w:rsidP="0084685A">
      <w:pPr>
        <w:rPr>
          <w:b/>
          <w:bCs/>
        </w:rPr>
      </w:pPr>
      <w:r w:rsidRPr="0084685A">
        <w:rPr>
          <w:b/>
          <w:bCs/>
        </w:rPr>
        <w:t>Sección 1: Naturaleza Institucional y Autoridad</w:t>
      </w:r>
    </w:p>
    <w:p w14:paraId="07C51785" w14:textId="77777777" w:rsidR="0084685A" w:rsidRPr="0084685A" w:rsidRDefault="0084685A" w:rsidP="0084685A">
      <w:r w:rsidRPr="0084685A">
        <w:t>La SP posee características que definen su independencia y mando:</w:t>
      </w:r>
    </w:p>
    <w:p w14:paraId="2F2407F5" w14:textId="77777777" w:rsidR="0084685A" w:rsidRPr="0084685A" w:rsidRDefault="0084685A" w:rsidP="0084685A">
      <w:pPr>
        <w:numPr>
          <w:ilvl w:val="0"/>
          <w:numId w:val="1"/>
        </w:numPr>
      </w:pPr>
      <w:r w:rsidRPr="0084685A">
        <w:rPr>
          <w:b/>
          <w:bCs/>
        </w:rPr>
        <w:t>Autonomía:</w:t>
      </w:r>
      <w:r w:rsidRPr="0084685A">
        <w:t xml:space="preserve"> Es una entidad con personalidad jurídica propia y autonomía funcional.</w:t>
      </w:r>
    </w:p>
    <w:p w14:paraId="14521627" w14:textId="77777777" w:rsidR="0084685A" w:rsidRPr="0084685A" w:rsidRDefault="0084685A" w:rsidP="0084685A">
      <w:pPr>
        <w:numPr>
          <w:ilvl w:val="0"/>
          <w:numId w:val="1"/>
        </w:numPr>
      </w:pPr>
      <w:r w:rsidRPr="0084685A">
        <w:rPr>
          <w:b/>
          <w:bCs/>
        </w:rPr>
        <w:t>Liderazgo:</w:t>
      </w:r>
      <w:r w:rsidRPr="0084685A">
        <w:t xml:space="preserve"> La máxima autoridad del organismo es el </w:t>
      </w:r>
      <w:r w:rsidRPr="0084685A">
        <w:rPr>
          <w:b/>
          <w:bCs/>
        </w:rPr>
        <w:t>Superintendente</w:t>
      </w:r>
      <w:r w:rsidRPr="0084685A">
        <w:t>, responsable de dirigir las labores de fiscalización.</w:t>
      </w:r>
    </w:p>
    <w:p w14:paraId="2C2888F9" w14:textId="77777777" w:rsidR="0084685A" w:rsidRPr="0084685A" w:rsidRDefault="0084685A" w:rsidP="0084685A">
      <w:pPr>
        <w:numPr>
          <w:ilvl w:val="0"/>
          <w:numId w:val="1"/>
        </w:numPr>
      </w:pPr>
      <w:r w:rsidRPr="0084685A">
        <w:rPr>
          <w:b/>
          <w:bCs/>
        </w:rPr>
        <w:t>Rol en el Mercado:</w:t>
      </w:r>
      <w:r w:rsidRPr="0084685A">
        <w:t xml:space="preserve"> Actúa estrictamente como </w:t>
      </w:r>
      <w:r w:rsidRPr="0084685A">
        <w:rPr>
          <w:b/>
          <w:bCs/>
        </w:rPr>
        <w:t>regulador y fiscalizador</w:t>
      </w:r>
      <w:r w:rsidRPr="0084685A">
        <w:t>, no como un operador de mercado.</w:t>
      </w:r>
    </w:p>
    <w:p w14:paraId="2A1B71C7" w14:textId="77777777" w:rsidR="0084685A" w:rsidRPr="0084685A" w:rsidRDefault="0084685A" w:rsidP="0084685A">
      <w:pPr>
        <w:rPr>
          <w:b/>
          <w:bCs/>
        </w:rPr>
      </w:pPr>
      <w:r w:rsidRPr="0084685A">
        <w:rPr>
          <w:b/>
          <w:bCs/>
        </w:rPr>
        <w:t>Sección 2: Ámbito de Supervigilancia y Control</w:t>
      </w:r>
    </w:p>
    <w:p w14:paraId="79E8B768" w14:textId="77777777" w:rsidR="0084685A" w:rsidRPr="0084685A" w:rsidRDefault="0084685A" w:rsidP="0084685A">
      <w:r w:rsidRPr="0084685A">
        <w:t>El objetivo de la SP es el control exhaustivo de tres pilares fundamentales:</w:t>
      </w:r>
    </w:p>
    <w:p w14:paraId="6FD101FF" w14:textId="77777777" w:rsidR="0084685A" w:rsidRPr="0084685A" w:rsidRDefault="0084685A" w:rsidP="0084685A">
      <w:pPr>
        <w:numPr>
          <w:ilvl w:val="0"/>
          <w:numId w:val="2"/>
        </w:numPr>
      </w:pPr>
      <w:r w:rsidRPr="0084685A">
        <w:rPr>
          <w:b/>
          <w:bCs/>
        </w:rPr>
        <w:t>Sistema de Pensiones Solidarias:</w:t>
      </w:r>
      <w:r w:rsidRPr="0084685A">
        <w:t xml:space="preserve"> Administrado por el </w:t>
      </w:r>
      <w:r w:rsidRPr="0084685A">
        <w:rPr>
          <w:b/>
          <w:bCs/>
        </w:rPr>
        <w:t>Instituto de Previsión Social (IPS)</w:t>
      </w:r>
      <w:r w:rsidRPr="0084685A">
        <w:t>, enfocado en los beneficios otorgados por el Estado.</w:t>
      </w:r>
    </w:p>
    <w:p w14:paraId="40467F29" w14:textId="77777777" w:rsidR="0084685A" w:rsidRPr="0084685A" w:rsidRDefault="0084685A" w:rsidP="0084685A">
      <w:pPr>
        <w:numPr>
          <w:ilvl w:val="0"/>
          <w:numId w:val="2"/>
        </w:numPr>
      </w:pPr>
      <w:r w:rsidRPr="0084685A">
        <w:rPr>
          <w:b/>
          <w:bCs/>
        </w:rPr>
        <w:lastRenderedPageBreak/>
        <w:t>Administradoras de Fondos de Pensiones (AFP):</w:t>
      </w:r>
      <w:r w:rsidRPr="0084685A">
        <w:t xml:space="preserve"> Entidades privadas que gestionan las cuentas de capitalización individual.</w:t>
      </w:r>
    </w:p>
    <w:p w14:paraId="6B89148B" w14:textId="77777777" w:rsidR="0084685A" w:rsidRPr="0084685A" w:rsidRDefault="0084685A" w:rsidP="0084685A">
      <w:pPr>
        <w:numPr>
          <w:ilvl w:val="0"/>
          <w:numId w:val="2"/>
        </w:numPr>
      </w:pPr>
      <w:r w:rsidRPr="0084685A">
        <w:rPr>
          <w:b/>
          <w:bCs/>
        </w:rPr>
        <w:t>Administradora de Fondos de Cesantía (AFC):</w:t>
      </w:r>
      <w:r w:rsidRPr="0084685A">
        <w:t xml:space="preserve"> Entidad encargada de la gestión del seguro de desempleo.</w:t>
      </w:r>
    </w:p>
    <w:p w14:paraId="04E611BC" w14:textId="77777777" w:rsidR="0084685A" w:rsidRPr="0084685A" w:rsidRDefault="0084685A" w:rsidP="0084685A">
      <w:pPr>
        <w:rPr>
          <w:b/>
          <w:bCs/>
        </w:rPr>
      </w:pPr>
      <w:r w:rsidRPr="0084685A">
        <w:rPr>
          <w:b/>
          <w:bCs/>
        </w:rPr>
        <w:t>Sección 3: Supervisión del Seguro de Cesantía (AFC)</w:t>
      </w:r>
    </w:p>
    <w:p w14:paraId="094308E1" w14:textId="77777777" w:rsidR="0084685A" w:rsidRPr="0084685A" w:rsidRDefault="0084685A" w:rsidP="0084685A">
      <w:r w:rsidRPr="0084685A">
        <w:t>La Superintendencia fiscaliza específicamente a la AFC en sus tres funciones críticas:</w:t>
      </w:r>
    </w:p>
    <w:p w14:paraId="6BB86053" w14:textId="77777777" w:rsidR="0084685A" w:rsidRPr="0084685A" w:rsidRDefault="0084685A" w:rsidP="0084685A">
      <w:pPr>
        <w:numPr>
          <w:ilvl w:val="0"/>
          <w:numId w:val="3"/>
        </w:numPr>
      </w:pPr>
      <w:r w:rsidRPr="0084685A">
        <w:rPr>
          <w:b/>
          <w:bCs/>
        </w:rPr>
        <w:t>Recaudación:</w:t>
      </w:r>
      <w:r w:rsidRPr="0084685A">
        <w:t xml:space="preserve"> Supervisar que las cotizaciones de los trabajadores y empleadores ingresen correctamente al sistema.</w:t>
      </w:r>
    </w:p>
    <w:p w14:paraId="1B544006" w14:textId="77777777" w:rsidR="0084685A" w:rsidRPr="0084685A" w:rsidRDefault="0084685A" w:rsidP="0084685A">
      <w:pPr>
        <w:numPr>
          <w:ilvl w:val="0"/>
          <w:numId w:val="3"/>
        </w:numPr>
      </w:pPr>
      <w:r w:rsidRPr="0084685A">
        <w:rPr>
          <w:b/>
          <w:bCs/>
        </w:rPr>
        <w:t>Inversión:</w:t>
      </w:r>
      <w:r w:rsidRPr="0084685A">
        <w:t xml:space="preserve"> Controlar que los recursos del fondo se inviertan bajo parámetros de seguridad y rentabilidad establecidos por ley.</w:t>
      </w:r>
    </w:p>
    <w:p w14:paraId="0A28E101" w14:textId="77777777" w:rsidR="0084685A" w:rsidRPr="0084685A" w:rsidRDefault="0084685A" w:rsidP="0084685A">
      <w:pPr>
        <w:numPr>
          <w:ilvl w:val="0"/>
          <w:numId w:val="3"/>
        </w:numPr>
      </w:pPr>
      <w:r w:rsidRPr="0084685A">
        <w:rPr>
          <w:b/>
          <w:bCs/>
        </w:rPr>
        <w:t>Pago de Beneficios:</w:t>
      </w:r>
      <w:r w:rsidRPr="0084685A">
        <w:t xml:space="preserve"> Asegurar que los trabajadores que quedan desempleados reciban el pago de sus seguros de acuerdo con la normativa vigente.</w:t>
      </w:r>
    </w:p>
    <w:p w14:paraId="5D4C8707" w14:textId="77777777" w:rsidR="0084685A" w:rsidRPr="0084685A" w:rsidRDefault="0084685A" w:rsidP="0084685A">
      <w:r w:rsidRPr="0084685A">
        <w:pict w14:anchorId="6813E919">
          <v:rect id="_x0000_i1051" style="width:0;height:1.5pt" o:hralign="center" o:hrstd="t" o:hr="t" fillcolor="#a0a0a0" stroked="f"/>
        </w:pict>
      </w:r>
    </w:p>
    <w:p w14:paraId="5BE50310" w14:textId="77777777" w:rsidR="0084685A" w:rsidRPr="0084685A" w:rsidRDefault="0084685A" w:rsidP="0084685A">
      <w:pPr>
        <w:rPr>
          <w:b/>
          <w:bCs/>
        </w:rPr>
      </w:pPr>
      <w:r w:rsidRPr="0084685A">
        <w:rPr>
          <w:b/>
          <w:bCs/>
        </w:rPr>
        <w:t>Conclusiones o ideas clave</w:t>
      </w:r>
    </w:p>
    <w:p w14:paraId="7BB36FC0" w14:textId="77777777" w:rsidR="0084685A" w:rsidRPr="0084685A" w:rsidRDefault="0084685A" w:rsidP="0084685A">
      <w:pPr>
        <w:numPr>
          <w:ilvl w:val="0"/>
          <w:numId w:val="4"/>
        </w:numPr>
      </w:pPr>
      <w:r w:rsidRPr="0084685A">
        <w:rPr>
          <w:b/>
          <w:bCs/>
        </w:rPr>
        <w:t>Protección del Estado:</w:t>
      </w:r>
      <w:r w:rsidRPr="0084685A">
        <w:t xml:space="preserve"> La SP es el garante de que los ahorros previsionales y de cesantía de los ciudadanos sean gestionados con transparencia.</w:t>
      </w:r>
    </w:p>
    <w:p w14:paraId="2DD30B04" w14:textId="77777777" w:rsidR="0084685A" w:rsidRPr="0084685A" w:rsidRDefault="0084685A" w:rsidP="0084685A">
      <w:pPr>
        <w:numPr>
          <w:ilvl w:val="0"/>
          <w:numId w:val="4"/>
        </w:numPr>
      </w:pPr>
      <w:r w:rsidRPr="0084685A">
        <w:rPr>
          <w:b/>
          <w:bCs/>
        </w:rPr>
        <w:t>Supervisión Integral:</w:t>
      </w:r>
      <w:r w:rsidRPr="0084685A">
        <w:t xml:space="preserve"> Su facultad abarca tanto al sector público (IPS) como al privado (AFP y AFC).</w:t>
      </w:r>
    </w:p>
    <w:p w14:paraId="145A7272" w14:textId="77777777" w:rsidR="0084685A" w:rsidRPr="0084685A" w:rsidRDefault="0084685A" w:rsidP="0084685A">
      <w:pPr>
        <w:numPr>
          <w:ilvl w:val="0"/>
          <w:numId w:val="4"/>
        </w:numPr>
      </w:pPr>
      <w:r w:rsidRPr="0084685A">
        <w:rPr>
          <w:b/>
          <w:bCs/>
        </w:rPr>
        <w:t>Eslabón Institucional:</w:t>
      </w:r>
      <w:r w:rsidRPr="0084685A">
        <w:t xml:space="preserve"> Funciona como el nexo técnico entre las políticas de seguridad social del Ministerio del Trabajo y la ejecución operativa de las administradoras.</w:t>
      </w:r>
    </w:p>
    <w:p w14:paraId="6CE538A8" w14:textId="77777777" w:rsidR="0084685A" w:rsidRPr="0084685A" w:rsidRDefault="0084685A" w:rsidP="0084685A">
      <w:r w:rsidRPr="0084685A">
        <w:pict w14:anchorId="5EE25F43">
          <v:rect id="_x0000_i1052" style="width:0;height:1.5pt" o:hralign="center" o:hrstd="t" o:hr="t" fillcolor="#a0a0a0" stroked="f"/>
        </w:pict>
      </w:r>
    </w:p>
    <w:p w14:paraId="30BB7C8B" w14:textId="77777777" w:rsidR="0084685A" w:rsidRPr="0084685A" w:rsidRDefault="0084685A" w:rsidP="0084685A">
      <w:pPr>
        <w:rPr>
          <w:b/>
          <w:bCs/>
        </w:rPr>
      </w:pPr>
      <w:proofErr w:type="gramStart"/>
      <w:r w:rsidRPr="0084685A">
        <w:rPr>
          <w:b/>
          <w:bCs/>
        </w:rPr>
        <w:t>Puntos a aclarar</w:t>
      </w:r>
      <w:proofErr w:type="gramEnd"/>
      <w:r w:rsidRPr="0084685A">
        <w:rPr>
          <w:b/>
          <w:bCs/>
        </w:rPr>
        <w:t xml:space="preserve"> / información faltante</w:t>
      </w:r>
    </w:p>
    <w:p w14:paraId="23A5AF8C" w14:textId="77777777" w:rsidR="0084685A" w:rsidRPr="0084685A" w:rsidRDefault="0084685A" w:rsidP="0084685A">
      <w:pPr>
        <w:numPr>
          <w:ilvl w:val="0"/>
          <w:numId w:val="5"/>
        </w:numPr>
      </w:pPr>
      <w:r w:rsidRPr="0084685A">
        <w:rPr>
          <w:b/>
          <w:bCs/>
        </w:rPr>
        <w:t>Nombramiento de la Autoridad:</w:t>
      </w:r>
      <w:r w:rsidRPr="0084685A">
        <w:t xml:space="preserve"> El texto no especifica el mecanismo de designación del Superintendente ni la duración de su cargo.</w:t>
      </w:r>
    </w:p>
    <w:p w14:paraId="264C598A" w14:textId="77777777" w:rsidR="0084685A" w:rsidRPr="0084685A" w:rsidRDefault="0084685A" w:rsidP="0084685A">
      <w:pPr>
        <w:numPr>
          <w:ilvl w:val="0"/>
          <w:numId w:val="5"/>
        </w:numPr>
      </w:pPr>
      <w:r w:rsidRPr="0084685A">
        <w:rPr>
          <w:b/>
          <w:bCs/>
        </w:rPr>
        <w:t>Facultades Sancionatorias:</w:t>
      </w:r>
      <w:r w:rsidRPr="0084685A">
        <w:t xml:space="preserve"> Se menciona que es un organismo "contralor", pero no se desglosan los tipos de sanciones o multas que puede aplicar ante incumplimientos.</w:t>
      </w:r>
    </w:p>
    <w:p w14:paraId="5A13C824" w14:textId="77777777" w:rsidR="0084685A" w:rsidRPr="0084685A" w:rsidRDefault="0084685A" w:rsidP="0084685A">
      <w:pPr>
        <w:numPr>
          <w:ilvl w:val="0"/>
          <w:numId w:val="5"/>
        </w:numPr>
      </w:pPr>
      <w:r w:rsidRPr="0084685A">
        <w:rPr>
          <w:b/>
          <w:bCs/>
        </w:rPr>
        <w:lastRenderedPageBreak/>
        <w:t>Recursos de Reclamación:</w:t>
      </w:r>
      <w:r w:rsidRPr="0084685A">
        <w:t xml:space="preserve"> No se detalla el proceso mediante el cual un afiliado puede interponer quejas ante la Superintendencia frente a conflictos con su AFP o la AFC.</w:t>
      </w:r>
    </w:p>
    <w:p w14:paraId="28E06333"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344A"/>
    <w:multiLevelType w:val="multilevel"/>
    <w:tmpl w:val="5704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FD29EE"/>
    <w:multiLevelType w:val="multilevel"/>
    <w:tmpl w:val="8382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2E4711"/>
    <w:multiLevelType w:val="multilevel"/>
    <w:tmpl w:val="3D40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911383"/>
    <w:multiLevelType w:val="multilevel"/>
    <w:tmpl w:val="74EC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C07B6"/>
    <w:multiLevelType w:val="multilevel"/>
    <w:tmpl w:val="14E6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138854">
    <w:abstractNumId w:val="2"/>
  </w:num>
  <w:num w:numId="2" w16cid:durableId="1999185297">
    <w:abstractNumId w:val="1"/>
  </w:num>
  <w:num w:numId="3" w16cid:durableId="1491142422">
    <w:abstractNumId w:val="4"/>
  </w:num>
  <w:num w:numId="4" w16cid:durableId="222255455">
    <w:abstractNumId w:val="0"/>
  </w:num>
  <w:num w:numId="5" w16cid:durableId="1283541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99"/>
    <w:rsid w:val="00071C90"/>
    <w:rsid w:val="000D1EDE"/>
    <w:rsid w:val="00320D26"/>
    <w:rsid w:val="00414AB1"/>
    <w:rsid w:val="00491999"/>
    <w:rsid w:val="006473F9"/>
    <w:rsid w:val="00736F93"/>
    <w:rsid w:val="0084685A"/>
    <w:rsid w:val="00DC13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1F630"/>
  <w15:chartTrackingRefBased/>
  <w15:docId w15:val="{B00FB5F3-C1CD-42BE-8159-F8F17E448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1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1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19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19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19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19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19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19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19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19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19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19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19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19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19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19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19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1999"/>
    <w:rPr>
      <w:rFonts w:eastAsiaTheme="majorEastAsia" w:cstheme="majorBidi"/>
      <w:color w:val="272727" w:themeColor="text1" w:themeTint="D8"/>
    </w:rPr>
  </w:style>
  <w:style w:type="paragraph" w:styleId="Ttulo">
    <w:name w:val="Title"/>
    <w:basedOn w:val="Normal"/>
    <w:next w:val="Normal"/>
    <w:link w:val="TtuloCar"/>
    <w:uiPriority w:val="10"/>
    <w:qFormat/>
    <w:rsid w:val="00491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19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19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19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1999"/>
    <w:pPr>
      <w:spacing w:before="160"/>
      <w:jc w:val="center"/>
    </w:pPr>
    <w:rPr>
      <w:i/>
      <w:iCs/>
      <w:color w:val="404040" w:themeColor="text1" w:themeTint="BF"/>
    </w:rPr>
  </w:style>
  <w:style w:type="character" w:customStyle="1" w:styleId="CitaCar">
    <w:name w:val="Cita Car"/>
    <w:basedOn w:val="Fuentedeprrafopredeter"/>
    <w:link w:val="Cita"/>
    <w:uiPriority w:val="29"/>
    <w:rsid w:val="00491999"/>
    <w:rPr>
      <w:i/>
      <w:iCs/>
      <w:color w:val="404040" w:themeColor="text1" w:themeTint="BF"/>
    </w:rPr>
  </w:style>
  <w:style w:type="paragraph" w:styleId="Prrafodelista">
    <w:name w:val="List Paragraph"/>
    <w:basedOn w:val="Normal"/>
    <w:uiPriority w:val="34"/>
    <w:qFormat/>
    <w:rsid w:val="00491999"/>
    <w:pPr>
      <w:ind w:left="720"/>
      <w:contextualSpacing/>
    </w:pPr>
  </w:style>
  <w:style w:type="character" w:styleId="nfasisintenso">
    <w:name w:val="Intense Emphasis"/>
    <w:basedOn w:val="Fuentedeprrafopredeter"/>
    <w:uiPriority w:val="21"/>
    <w:qFormat/>
    <w:rsid w:val="00491999"/>
    <w:rPr>
      <w:i/>
      <w:iCs/>
      <w:color w:val="0F4761" w:themeColor="accent1" w:themeShade="BF"/>
    </w:rPr>
  </w:style>
  <w:style w:type="paragraph" w:styleId="Citadestacada">
    <w:name w:val="Intense Quote"/>
    <w:basedOn w:val="Normal"/>
    <w:next w:val="Normal"/>
    <w:link w:val="CitadestacadaCar"/>
    <w:uiPriority w:val="30"/>
    <w:qFormat/>
    <w:rsid w:val="00491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1999"/>
    <w:rPr>
      <w:i/>
      <w:iCs/>
      <w:color w:val="0F4761" w:themeColor="accent1" w:themeShade="BF"/>
    </w:rPr>
  </w:style>
  <w:style w:type="character" w:styleId="Referenciaintensa">
    <w:name w:val="Intense Reference"/>
    <w:basedOn w:val="Fuentedeprrafopredeter"/>
    <w:uiPriority w:val="32"/>
    <w:qFormat/>
    <w:rsid w:val="00491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546</Words>
  <Characters>3004</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2026-05-06T23:38:00Z</dcterms:created>
  <dcterms:modified xsi:type="dcterms:W3CDTF">2026-05-06T23:38:00Z</dcterms:modified>
</cp:coreProperties>
</file>