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A3241" w14:textId="77777777" w:rsidR="00564B2B" w:rsidRPr="00564B2B" w:rsidRDefault="00564B2B" w:rsidP="00564B2B">
      <w:pPr>
        <w:rPr>
          <w:b/>
          <w:bCs/>
        </w:rPr>
      </w:pPr>
      <w:r w:rsidRPr="00564B2B">
        <w:rPr>
          <w:b/>
          <w:bCs/>
        </w:rPr>
        <w:t>Estructura y Funcionamiento de las Tarjetas de Crédito: Guía de Gestión y Seguridad</w:t>
      </w:r>
    </w:p>
    <w:p w14:paraId="39269BB0" w14:textId="77777777" w:rsidR="00564B2B" w:rsidRPr="00564B2B" w:rsidRDefault="00564B2B" w:rsidP="00564B2B">
      <w:pPr>
        <w:rPr>
          <w:b/>
          <w:bCs/>
        </w:rPr>
      </w:pPr>
      <w:r w:rsidRPr="00564B2B">
        <w:rPr>
          <w:b/>
          <w:bCs/>
        </w:rPr>
        <w:t>Resumen Ejecutivo</w:t>
      </w:r>
    </w:p>
    <w:p w14:paraId="192F91FF" w14:textId="77777777" w:rsidR="00564B2B" w:rsidRPr="00564B2B" w:rsidRDefault="00564B2B" w:rsidP="00564B2B">
      <w:r w:rsidRPr="00564B2B">
        <w:t>La tarjeta de crédito es un instrumento financiero de pago e intermediación que permite a su titular acceder a una línea de crédito preaprobada por un emisor para adquirir bienes o servicios. A diferencia de las tarjetas de débito, estas operan bajo la modalidad de "compre ahora, pague después", lo que implica la generación de una deuda contractual. Su administración requiere un conocimiento profundo de los ciclos de facturación, la estructura de costos (intereses, impuestos y comisiones) y el cumplimiento estricto de protocolos de seguridad para mitigar riesgos de fraude y sobreendeudamiento.</w:t>
      </w:r>
    </w:p>
    <w:p w14:paraId="51009C0F" w14:textId="77777777" w:rsidR="00564B2B" w:rsidRPr="00564B2B" w:rsidRDefault="00564B2B" w:rsidP="00564B2B">
      <w:r w:rsidRPr="00564B2B">
        <w:pict w14:anchorId="4B7AE53D">
          <v:rect id="_x0000_i1061" style="width:0;height:1.5pt" o:hralign="center" o:hrstd="t" o:hr="t" fillcolor="#a0a0a0" stroked="f"/>
        </w:pict>
      </w:r>
    </w:p>
    <w:p w14:paraId="1F6FBCAC" w14:textId="77777777" w:rsidR="00564B2B" w:rsidRPr="00564B2B" w:rsidRDefault="00564B2B" w:rsidP="00564B2B">
      <w:pPr>
        <w:rPr>
          <w:b/>
          <w:bCs/>
        </w:rPr>
      </w:pPr>
      <w:r w:rsidRPr="00564B2B">
        <w:rPr>
          <w:b/>
          <w:bCs/>
        </w:rPr>
        <w:t>Contexto y Propósito del Documento</w:t>
      </w:r>
    </w:p>
    <w:p w14:paraId="1CA5E86E" w14:textId="77777777" w:rsidR="00564B2B" w:rsidRPr="00564B2B" w:rsidRDefault="00564B2B" w:rsidP="00564B2B">
      <w:r w:rsidRPr="00564B2B">
        <w:t>Este documento sistematiza la normativa y operatividad de las tarjetas de crédito en el mercado chileno, fundamentado en la Ley 20.950, el Compendio de Normas Financieras del Banco Central y la Recopilación Actualizada de Normas de la CMF (Capítulo 8-41). El propósito es clarificar las responsabilidades de las partes intervinientes y proporcionar un marco de referencia para el uso responsable de este producto financiero.</w:t>
      </w:r>
    </w:p>
    <w:p w14:paraId="23D2848D" w14:textId="77777777" w:rsidR="00564B2B" w:rsidRPr="00564B2B" w:rsidRDefault="00564B2B" w:rsidP="00564B2B">
      <w:r w:rsidRPr="00564B2B">
        <w:pict w14:anchorId="44B92D33">
          <v:rect id="_x0000_i1062" style="width:0;height:1.5pt" o:hralign="center" o:hrstd="t" o:hr="t" fillcolor="#a0a0a0" stroked="f"/>
        </w:pict>
      </w:r>
    </w:p>
    <w:p w14:paraId="5E33DEBA" w14:textId="77777777" w:rsidR="00564B2B" w:rsidRPr="00564B2B" w:rsidRDefault="00564B2B" w:rsidP="00564B2B">
      <w:pPr>
        <w:rPr>
          <w:b/>
          <w:bCs/>
        </w:rPr>
      </w:pPr>
      <w:r w:rsidRPr="00564B2B">
        <w:rPr>
          <w:b/>
          <w:bCs/>
        </w:rPr>
        <w:t>Desarrollo del Contenido</w:t>
      </w:r>
    </w:p>
    <w:p w14:paraId="06F466AE" w14:textId="77777777" w:rsidR="00564B2B" w:rsidRPr="00564B2B" w:rsidRDefault="00564B2B" w:rsidP="00564B2B">
      <w:pPr>
        <w:rPr>
          <w:b/>
          <w:bCs/>
        </w:rPr>
      </w:pPr>
      <w:r w:rsidRPr="00564B2B">
        <w:rPr>
          <w:b/>
          <w:bCs/>
        </w:rPr>
        <w:t>Sección 1: Definición y Características Técnicas</w:t>
      </w:r>
    </w:p>
    <w:p w14:paraId="6913E445" w14:textId="77777777" w:rsidR="00564B2B" w:rsidRPr="00564B2B" w:rsidRDefault="00564B2B" w:rsidP="00564B2B">
      <w:r w:rsidRPr="00564B2B">
        <w:t>La tarjeta de crédito es un instrumento intransferible que puede presentarse de forma física (plástico con banda magnética o chip) o digital (dispositivos electrónicos o informáticos).</w:t>
      </w:r>
    </w:p>
    <w:p w14:paraId="3B291AB6" w14:textId="77777777" w:rsidR="00564B2B" w:rsidRPr="00564B2B" w:rsidRDefault="00564B2B" w:rsidP="00564B2B">
      <w:pPr>
        <w:numPr>
          <w:ilvl w:val="0"/>
          <w:numId w:val="1"/>
        </w:numPr>
      </w:pPr>
      <w:r w:rsidRPr="00564B2B">
        <w:rPr>
          <w:b/>
          <w:bCs/>
        </w:rPr>
        <w:t>Soporte de Identificación:</w:t>
      </w:r>
      <w:r w:rsidRPr="00564B2B">
        <w:t xml:space="preserve"> Contiene el nombre del titular, número de identificación único, fecha de vencimiento y logotipos del emisor.</w:t>
      </w:r>
    </w:p>
    <w:p w14:paraId="32F28452" w14:textId="77777777" w:rsidR="00564B2B" w:rsidRPr="00564B2B" w:rsidRDefault="00564B2B" w:rsidP="00564B2B">
      <w:pPr>
        <w:numPr>
          <w:ilvl w:val="0"/>
          <w:numId w:val="1"/>
        </w:numPr>
      </w:pPr>
      <w:r w:rsidRPr="00564B2B">
        <w:rPr>
          <w:b/>
          <w:bCs/>
        </w:rPr>
        <w:t>Versatilidad de Uso:</w:t>
      </w:r>
      <w:r w:rsidRPr="00564B2B">
        <w:t xml:space="preserve"> Habilitada para transacciones presenciales (P.O.S.), compras no presenciales (e-</w:t>
      </w:r>
      <w:proofErr w:type="spellStart"/>
      <w:r w:rsidRPr="00564B2B">
        <w:t>commerce</w:t>
      </w:r>
      <w:proofErr w:type="spellEnd"/>
      <w:r w:rsidRPr="00564B2B">
        <w:t>) y operaciones en cajeros automáticos.</w:t>
      </w:r>
    </w:p>
    <w:p w14:paraId="1CCB0D37" w14:textId="77777777" w:rsidR="00564B2B" w:rsidRPr="00564B2B" w:rsidRDefault="00564B2B" w:rsidP="00564B2B">
      <w:pPr>
        <w:numPr>
          <w:ilvl w:val="0"/>
          <w:numId w:val="1"/>
        </w:numPr>
      </w:pPr>
      <w:r w:rsidRPr="00564B2B">
        <w:rPr>
          <w:b/>
          <w:bCs/>
        </w:rPr>
        <w:t>Emisores:</w:t>
      </w:r>
      <w:r w:rsidRPr="00564B2B">
        <w:t xml:space="preserve"> Entidades bancarias y no bancarias (casas comerciales) registradas y fiscalizadas por la CMF.</w:t>
      </w:r>
    </w:p>
    <w:p w14:paraId="34C6BF23" w14:textId="77777777" w:rsidR="00564B2B" w:rsidRPr="00564B2B" w:rsidRDefault="00564B2B" w:rsidP="00564B2B">
      <w:pPr>
        <w:rPr>
          <w:b/>
          <w:bCs/>
        </w:rPr>
      </w:pPr>
      <w:r w:rsidRPr="00564B2B">
        <w:rPr>
          <w:b/>
          <w:bCs/>
        </w:rPr>
        <w:lastRenderedPageBreak/>
        <w:t>Sección 2: El Proceso Operativo y el Ciclo del Crédito</w:t>
      </w:r>
    </w:p>
    <w:p w14:paraId="479F787B" w14:textId="77777777" w:rsidR="00564B2B" w:rsidRPr="00564B2B" w:rsidRDefault="00564B2B" w:rsidP="00564B2B">
      <w:r w:rsidRPr="00564B2B">
        <w:t>El funcionamiento se basa en la utilización de una línea de crédito aprobada. El proceso transaccional sigue el siguiente flujo:</w:t>
      </w:r>
    </w:p>
    <w:p w14:paraId="4BDDED8F" w14:textId="77777777" w:rsidR="00564B2B" w:rsidRPr="00564B2B" w:rsidRDefault="00564B2B" w:rsidP="00564B2B">
      <w:pPr>
        <w:numPr>
          <w:ilvl w:val="0"/>
          <w:numId w:val="2"/>
        </w:numPr>
      </w:pPr>
      <w:r w:rsidRPr="00564B2B">
        <w:rPr>
          <w:b/>
          <w:bCs/>
        </w:rPr>
        <w:t>Transacción:</w:t>
      </w:r>
      <w:r w:rsidRPr="00564B2B">
        <w:t xml:space="preserve"> El titular autoriza el pago mediante firma de </w:t>
      </w:r>
      <w:proofErr w:type="spellStart"/>
      <w:r w:rsidRPr="00564B2B">
        <w:t>voucher</w:t>
      </w:r>
      <w:proofErr w:type="spellEnd"/>
      <w:r w:rsidRPr="00564B2B">
        <w:t xml:space="preserve"> o ingreso de clave PIN. Se debe verificar identidad con cédula o pasaporte.</w:t>
      </w:r>
    </w:p>
    <w:p w14:paraId="1BEF6FDA" w14:textId="77777777" w:rsidR="00564B2B" w:rsidRPr="00564B2B" w:rsidRDefault="00564B2B" w:rsidP="00564B2B">
      <w:pPr>
        <w:numPr>
          <w:ilvl w:val="0"/>
          <w:numId w:val="2"/>
        </w:numPr>
      </w:pPr>
      <w:r w:rsidRPr="00564B2B">
        <w:rPr>
          <w:b/>
          <w:bCs/>
        </w:rPr>
        <w:t>Validación del Operador:</w:t>
      </w:r>
      <w:r w:rsidRPr="00564B2B">
        <w:t xml:space="preserve"> El comercio presenta el comprobante al Operador (ej. Transbank) para el cobro del valor.</w:t>
      </w:r>
    </w:p>
    <w:p w14:paraId="4BA2BD0F" w14:textId="77777777" w:rsidR="00564B2B" w:rsidRPr="00564B2B" w:rsidRDefault="00564B2B" w:rsidP="00564B2B">
      <w:pPr>
        <w:numPr>
          <w:ilvl w:val="0"/>
          <w:numId w:val="2"/>
        </w:numPr>
      </w:pPr>
      <w:r w:rsidRPr="00564B2B">
        <w:rPr>
          <w:b/>
          <w:bCs/>
        </w:rPr>
        <w:t>Registro del Emisor:</w:t>
      </w:r>
      <w:r w:rsidRPr="00564B2B">
        <w:t xml:space="preserve"> El Operador informa al Emisor (Banco o </w:t>
      </w:r>
      <w:proofErr w:type="spellStart"/>
      <w:r w:rsidRPr="00564B2B">
        <w:t>Retail</w:t>
      </w:r>
      <w:proofErr w:type="spellEnd"/>
      <w:r w:rsidRPr="00564B2B">
        <w:t>), quien carga la transacción al cupo del cliente.</w:t>
      </w:r>
    </w:p>
    <w:p w14:paraId="3D3BD180" w14:textId="77777777" w:rsidR="00564B2B" w:rsidRPr="00564B2B" w:rsidRDefault="00564B2B" w:rsidP="00564B2B">
      <w:pPr>
        <w:numPr>
          <w:ilvl w:val="0"/>
          <w:numId w:val="2"/>
        </w:numPr>
      </w:pPr>
      <w:r w:rsidRPr="00564B2B">
        <w:rPr>
          <w:b/>
          <w:bCs/>
        </w:rPr>
        <w:t>Facturación:</w:t>
      </w:r>
      <w:r w:rsidRPr="00564B2B">
        <w:t xml:space="preserve"> El Emisor genera el Estado de Cuenta mensual con el detalle de los movimientos.</w:t>
      </w:r>
    </w:p>
    <w:p w14:paraId="3AE0E84D" w14:textId="77777777" w:rsidR="00564B2B" w:rsidRPr="00564B2B" w:rsidRDefault="00564B2B" w:rsidP="00564B2B">
      <w:pPr>
        <w:rPr>
          <w:b/>
          <w:bCs/>
        </w:rPr>
      </w:pPr>
      <w:r w:rsidRPr="00564B2B">
        <w:rPr>
          <w:b/>
          <w:bCs/>
        </w:rPr>
        <w:t>Sección 3: Estructura de Costos y Cargos Financieros</w:t>
      </w:r>
    </w:p>
    <w:p w14:paraId="613CB2C7" w14:textId="77777777" w:rsidR="00564B2B" w:rsidRPr="00564B2B" w:rsidRDefault="00564B2B" w:rsidP="00564B2B">
      <w:r w:rsidRPr="00564B2B">
        <w:t>El Estado de Cuenta mensual clasifica los cobros en cuatro categorías principales:</w:t>
      </w:r>
    </w:p>
    <w:p w14:paraId="70A37034" w14:textId="77777777" w:rsidR="00564B2B" w:rsidRPr="00564B2B" w:rsidRDefault="00564B2B" w:rsidP="00564B2B">
      <w:pPr>
        <w:numPr>
          <w:ilvl w:val="0"/>
          <w:numId w:val="3"/>
        </w:numPr>
      </w:pPr>
      <w:r w:rsidRPr="00564B2B">
        <w:rPr>
          <w:b/>
          <w:bCs/>
        </w:rPr>
        <w:t>Compras:</w:t>
      </w:r>
      <w:r w:rsidRPr="00564B2B">
        <w:t xml:space="preserve"> Montos por adquisiciones al contado o cuotas facturadas en el periodo.</w:t>
      </w:r>
    </w:p>
    <w:p w14:paraId="49147B05" w14:textId="77777777" w:rsidR="00564B2B" w:rsidRPr="00564B2B" w:rsidRDefault="00564B2B" w:rsidP="00564B2B">
      <w:pPr>
        <w:numPr>
          <w:ilvl w:val="0"/>
          <w:numId w:val="3"/>
        </w:numPr>
      </w:pPr>
      <w:r w:rsidRPr="00564B2B">
        <w:rPr>
          <w:b/>
          <w:bCs/>
        </w:rPr>
        <w:t>Intereses:</w:t>
      </w:r>
      <w:r w:rsidRPr="00564B2B">
        <w:t xml:space="preserve"> Aplicados sobre el saldo no pagado (interés rotativo), en compras en cuotas con interés o de forma inmediata en avances en efectivo.</w:t>
      </w:r>
    </w:p>
    <w:p w14:paraId="31C039AC" w14:textId="77777777" w:rsidR="00564B2B" w:rsidRPr="00564B2B" w:rsidRDefault="00564B2B" w:rsidP="00564B2B">
      <w:pPr>
        <w:numPr>
          <w:ilvl w:val="0"/>
          <w:numId w:val="3"/>
        </w:numPr>
      </w:pPr>
      <w:r w:rsidRPr="00564B2B">
        <w:rPr>
          <w:b/>
          <w:bCs/>
        </w:rPr>
        <w:t>Impuestos:</w:t>
      </w:r>
      <w:r w:rsidRPr="00564B2B">
        <w:t xml:space="preserve"> Toda operación de crédito está afecta por ley a tributos específicos (Impuesto de Timbres y Estampillas).</w:t>
      </w:r>
    </w:p>
    <w:p w14:paraId="36714092" w14:textId="77777777" w:rsidR="00564B2B" w:rsidRPr="00564B2B" w:rsidRDefault="00564B2B" w:rsidP="00564B2B">
      <w:pPr>
        <w:numPr>
          <w:ilvl w:val="0"/>
          <w:numId w:val="3"/>
        </w:numPr>
      </w:pPr>
      <w:r w:rsidRPr="00564B2B">
        <w:rPr>
          <w:b/>
          <w:bCs/>
        </w:rPr>
        <w:t>Comisiones:</w:t>
      </w:r>
      <w:r w:rsidRPr="00564B2B">
        <w:t xml:space="preserve"> Cargos por mantención, administración, uso de cajeros o transacciones en el exterior. Cualquier modificación en estas tarifas debe informarse por escrito con al menos </w:t>
      </w:r>
      <w:r w:rsidRPr="00564B2B">
        <w:rPr>
          <w:b/>
          <w:bCs/>
        </w:rPr>
        <w:t>dos meses de anticipación</w:t>
      </w:r>
      <w:r w:rsidRPr="00564B2B">
        <w:t>.</w:t>
      </w:r>
    </w:p>
    <w:p w14:paraId="31C6E6A6" w14:textId="77777777" w:rsidR="00564B2B" w:rsidRPr="00564B2B" w:rsidRDefault="00564B2B" w:rsidP="00564B2B">
      <w:pPr>
        <w:rPr>
          <w:b/>
          <w:bCs/>
        </w:rPr>
      </w:pPr>
      <w:r w:rsidRPr="00564B2B">
        <w:rPr>
          <w:b/>
          <w:bCs/>
        </w:rPr>
        <w:t>Sección 4: Gestión de Seguridad y Mejores Prácticas</w:t>
      </w:r>
    </w:p>
    <w:p w14:paraId="368B3E54" w14:textId="77777777" w:rsidR="00564B2B" w:rsidRPr="00564B2B" w:rsidRDefault="00564B2B" w:rsidP="00564B2B">
      <w:r w:rsidRPr="00564B2B">
        <w:t>La mitigación de riesgos es responsabilidad compartida, pero exige diligencia extrema del titular:</w:t>
      </w:r>
    </w:p>
    <w:p w14:paraId="16E2F60F" w14:textId="77777777" w:rsidR="00564B2B" w:rsidRPr="00564B2B" w:rsidRDefault="00564B2B" w:rsidP="00564B2B">
      <w:pPr>
        <w:numPr>
          <w:ilvl w:val="0"/>
          <w:numId w:val="4"/>
        </w:numPr>
      </w:pPr>
      <w:r w:rsidRPr="00564B2B">
        <w:rPr>
          <w:b/>
          <w:bCs/>
        </w:rPr>
        <w:t>En Cajeros Automáticos:</w:t>
      </w:r>
      <w:r w:rsidRPr="00564B2B">
        <w:t xml:space="preserve"> Cubrir el teclado al digitar la clave, no aceptar ayuda de terceros y asegurarse de retirar la tarjeta y el comprobante.</w:t>
      </w:r>
    </w:p>
    <w:p w14:paraId="1C065340" w14:textId="77777777" w:rsidR="00564B2B" w:rsidRPr="00564B2B" w:rsidRDefault="00564B2B" w:rsidP="00564B2B">
      <w:pPr>
        <w:numPr>
          <w:ilvl w:val="0"/>
          <w:numId w:val="4"/>
        </w:numPr>
      </w:pPr>
      <w:r w:rsidRPr="00564B2B">
        <w:rPr>
          <w:b/>
          <w:bCs/>
        </w:rPr>
        <w:t>En Comercios:</w:t>
      </w:r>
      <w:r w:rsidRPr="00564B2B">
        <w:t xml:space="preserve"> No perder de vista la tarjeta durante la transacción para evitar clonaciones.</w:t>
      </w:r>
    </w:p>
    <w:p w14:paraId="39B481C3" w14:textId="77777777" w:rsidR="00564B2B" w:rsidRPr="00564B2B" w:rsidRDefault="00564B2B" w:rsidP="00564B2B">
      <w:pPr>
        <w:numPr>
          <w:ilvl w:val="0"/>
          <w:numId w:val="4"/>
        </w:numPr>
      </w:pPr>
      <w:r w:rsidRPr="00564B2B">
        <w:rPr>
          <w:b/>
          <w:bCs/>
        </w:rPr>
        <w:lastRenderedPageBreak/>
        <w:t>Gestión Documental:</w:t>
      </w:r>
      <w:r w:rsidRPr="00564B2B">
        <w:t xml:space="preserve"> Conservar los </w:t>
      </w:r>
      <w:proofErr w:type="spellStart"/>
      <w:r w:rsidRPr="00564B2B">
        <w:t>vouchers</w:t>
      </w:r>
      <w:proofErr w:type="spellEnd"/>
      <w:r w:rsidRPr="00564B2B">
        <w:t xml:space="preserve"> de compra para conciliarlos con el Estado de Cuenta y gestionar reclamos en caso de cobros indebidos.</w:t>
      </w:r>
    </w:p>
    <w:p w14:paraId="5CE2E291" w14:textId="77777777" w:rsidR="00564B2B" w:rsidRPr="00564B2B" w:rsidRDefault="00564B2B" w:rsidP="00564B2B">
      <w:pPr>
        <w:numPr>
          <w:ilvl w:val="0"/>
          <w:numId w:val="4"/>
        </w:numPr>
      </w:pPr>
      <w:r w:rsidRPr="00564B2B">
        <w:rPr>
          <w:b/>
          <w:bCs/>
        </w:rPr>
        <w:t>Estrategia de Pago:</w:t>
      </w:r>
      <w:r w:rsidRPr="00564B2B">
        <w:t xml:space="preserve"> Se recomienda el </w:t>
      </w:r>
      <w:r w:rsidRPr="00564B2B">
        <w:rPr>
          <w:b/>
          <w:bCs/>
        </w:rPr>
        <w:t>pago total</w:t>
      </w:r>
      <w:r w:rsidRPr="00564B2B">
        <w:t xml:space="preserve"> del monto facturado. El pago mínimo es una medida de emergencia que puede incrementar la deuda al no cubrir significativamente el capital.</w:t>
      </w:r>
    </w:p>
    <w:p w14:paraId="071AAE85" w14:textId="77777777" w:rsidR="00564B2B" w:rsidRPr="00564B2B" w:rsidRDefault="00564B2B" w:rsidP="00564B2B">
      <w:r w:rsidRPr="00564B2B">
        <w:pict w14:anchorId="0F07E7C7">
          <v:rect id="_x0000_i1063" style="width:0;height:1.5pt" o:hralign="center" o:hrstd="t" o:hr="t" fillcolor="#a0a0a0" stroked="f"/>
        </w:pict>
      </w:r>
    </w:p>
    <w:p w14:paraId="25A5CFA0" w14:textId="77777777" w:rsidR="00564B2B" w:rsidRPr="00564B2B" w:rsidRDefault="00564B2B" w:rsidP="00564B2B">
      <w:pPr>
        <w:rPr>
          <w:b/>
          <w:bCs/>
        </w:rPr>
      </w:pPr>
      <w:r w:rsidRPr="00564B2B">
        <w:rPr>
          <w:b/>
          <w:bCs/>
        </w:rPr>
        <w:t>Conceptos Financieros Clave</w:t>
      </w:r>
    </w:p>
    <w:p w14:paraId="651B0683" w14:textId="77777777" w:rsidR="00564B2B" w:rsidRPr="00564B2B" w:rsidRDefault="00564B2B" w:rsidP="00564B2B">
      <w:pPr>
        <w:numPr>
          <w:ilvl w:val="0"/>
          <w:numId w:val="5"/>
        </w:numPr>
      </w:pPr>
      <w:r w:rsidRPr="00564B2B">
        <w:rPr>
          <w:b/>
          <w:bCs/>
        </w:rPr>
        <w:t>Línea de Crédito:</w:t>
      </w:r>
      <w:r w:rsidRPr="00564B2B">
        <w:t xml:space="preserve"> Monto máximo de crédito disponible asignado por el emisor al titular.</w:t>
      </w:r>
    </w:p>
    <w:p w14:paraId="58D5C42D" w14:textId="77777777" w:rsidR="00564B2B" w:rsidRPr="00564B2B" w:rsidRDefault="00564B2B" w:rsidP="00564B2B">
      <w:pPr>
        <w:numPr>
          <w:ilvl w:val="0"/>
          <w:numId w:val="5"/>
        </w:numPr>
      </w:pPr>
      <w:r w:rsidRPr="00564B2B">
        <w:rPr>
          <w:b/>
          <w:bCs/>
        </w:rPr>
        <w:t>Estado de Cuenta:</w:t>
      </w:r>
      <w:r w:rsidRPr="00564B2B">
        <w:t xml:space="preserve"> Documento legal que detalla compras, avances, intereses y comisiones del periodo.</w:t>
      </w:r>
    </w:p>
    <w:p w14:paraId="1BD3E477" w14:textId="77777777" w:rsidR="00564B2B" w:rsidRPr="00564B2B" w:rsidRDefault="00564B2B" w:rsidP="00564B2B">
      <w:pPr>
        <w:numPr>
          <w:ilvl w:val="0"/>
          <w:numId w:val="5"/>
        </w:numPr>
      </w:pPr>
      <w:proofErr w:type="spellStart"/>
      <w:r w:rsidRPr="00564B2B">
        <w:rPr>
          <w:b/>
          <w:bCs/>
        </w:rPr>
        <w:t>Voucher</w:t>
      </w:r>
      <w:proofErr w:type="spellEnd"/>
      <w:r w:rsidRPr="00564B2B">
        <w:rPr>
          <w:b/>
          <w:bCs/>
        </w:rPr>
        <w:t>:</w:t>
      </w:r>
      <w:r w:rsidRPr="00564B2B">
        <w:t xml:space="preserve"> Comprobante de la transacción que establece el valor total de la compra.</w:t>
      </w:r>
    </w:p>
    <w:p w14:paraId="2AF07536" w14:textId="77777777" w:rsidR="00564B2B" w:rsidRPr="00564B2B" w:rsidRDefault="00564B2B" w:rsidP="00564B2B">
      <w:pPr>
        <w:numPr>
          <w:ilvl w:val="0"/>
          <w:numId w:val="5"/>
        </w:numPr>
      </w:pPr>
      <w:r w:rsidRPr="00564B2B">
        <w:rPr>
          <w:b/>
          <w:bCs/>
        </w:rPr>
        <w:t>Avance en Efectivo:</w:t>
      </w:r>
      <w:r w:rsidRPr="00564B2B">
        <w:t xml:space="preserve"> Retiro de dinero líquido con cargo a la línea de crédito, sujeto a comisiones e intereses inmediatos.</w:t>
      </w:r>
    </w:p>
    <w:p w14:paraId="65CD5322" w14:textId="77777777" w:rsidR="00564B2B" w:rsidRPr="00564B2B" w:rsidRDefault="00564B2B" w:rsidP="00564B2B">
      <w:r w:rsidRPr="00564B2B">
        <w:pict w14:anchorId="3D538680">
          <v:rect id="_x0000_i1064" style="width:0;height:1.5pt" o:hralign="center" o:hrstd="t" o:hr="t" fillcolor="#a0a0a0" stroked="f"/>
        </w:pict>
      </w:r>
    </w:p>
    <w:p w14:paraId="10FB3A3D" w14:textId="77777777" w:rsidR="00564B2B" w:rsidRPr="00564B2B" w:rsidRDefault="00564B2B" w:rsidP="00564B2B">
      <w:pPr>
        <w:rPr>
          <w:b/>
          <w:bCs/>
        </w:rPr>
      </w:pPr>
      <w:r w:rsidRPr="00564B2B">
        <w:rPr>
          <w:b/>
          <w:bCs/>
        </w:rPr>
        <w:t>Conclusiones / Ideas Principales</w:t>
      </w:r>
    </w:p>
    <w:p w14:paraId="10F5E571" w14:textId="77777777" w:rsidR="00564B2B" w:rsidRPr="00564B2B" w:rsidRDefault="00564B2B" w:rsidP="00564B2B">
      <w:pPr>
        <w:numPr>
          <w:ilvl w:val="0"/>
          <w:numId w:val="6"/>
        </w:numPr>
      </w:pPr>
      <w:r w:rsidRPr="00564B2B">
        <w:t xml:space="preserve">La tarjeta de crédito es una herramienta de </w:t>
      </w:r>
      <w:r w:rsidRPr="00564B2B">
        <w:rPr>
          <w:b/>
          <w:bCs/>
        </w:rPr>
        <w:t>financiamiento</w:t>
      </w:r>
      <w:r w:rsidRPr="00564B2B">
        <w:t>, no un aumento del ingreso personal.</w:t>
      </w:r>
    </w:p>
    <w:p w14:paraId="446FEB21" w14:textId="77777777" w:rsidR="00564B2B" w:rsidRPr="00564B2B" w:rsidRDefault="00564B2B" w:rsidP="00564B2B">
      <w:pPr>
        <w:numPr>
          <w:ilvl w:val="0"/>
          <w:numId w:val="6"/>
        </w:numPr>
      </w:pPr>
      <w:r w:rsidRPr="00564B2B">
        <w:t>El conocimiento de las condiciones contractuales y la revisión mensual del estado de cuenta son indispensables para la salud financiera.</w:t>
      </w:r>
    </w:p>
    <w:p w14:paraId="149C2AFB" w14:textId="77777777" w:rsidR="00564B2B" w:rsidRPr="00564B2B" w:rsidRDefault="00564B2B" w:rsidP="00564B2B">
      <w:pPr>
        <w:numPr>
          <w:ilvl w:val="0"/>
          <w:numId w:val="6"/>
        </w:numPr>
      </w:pPr>
      <w:r w:rsidRPr="00564B2B">
        <w:t>La seguridad digital y física del instrumento depende de la custodia de la clave secreta y el monitoreo constante de los movimientos.</w:t>
      </w:r>
    </w:p>
    <w:p w14:paraId="4629986E" w14:textId="77777777" w:rsidR="00564B2B" w:rsidRPr="00564B2B" w:rsidRDefault="00564B2B" w:rsidP="00564B2B">
      <w:r w:rsidRPr="00564B2B">
        <w:pict w14:anchorId="485BA1BC">
          <v:rect id="_x0000_i1065" style="width:0;height:1.5pt" o:hralign="center" o:hrstd="t" o:hr="t" fillcolor="#a0a0a0" stroked="f"/>
        </w:pict>
      </w:r>
    </w:p>
    <w:p w14:paraId="44C9851C" w14:textId="77777777" w:rsidR="00564B2B" w:rsidRPr="00564B2B" w:rsidRDefault="00564B2B" w:rsidP="00564B2B">
      <w:pPr>
        <w:rPr>
          <w:b/>
          <w:bCs/>
        </w:rPr>
      </w:pPr>
      <w:r w:rsidRPr="00564B2B">
        <w:rPr>
          <w:b/>
          <w:bCs/>
        </w:rPr>
        <w:t>Supuestos, Riesgos o Consideraciones Relevantes</w:t>
      </w:r>
    </w:p>
    <w:p w14:paraId="02045227" w14:textId="77777777" w:rsidR="00564B2B" w:rsidRPr="00564B2B" w:rsidRDefault="00564B2B" w:rsidP="00564B2B">
      <w:pPr>
        <w:numPr>
          <w:ilvl w:val="0"/>
          <w:numId w:val="7"/>
        </w:numPr>
      </w:pPr>
      <w:r w:rsidRPr="00564B2B">
        <w:rPr>
          <w:b/>
          <w:bCs/>
        </w:rPr>
        <w:t>Riesgo de Intereses:</w:t>
      </w:r>
      <w:r w:rsidRPr="00564B2B">
        <w:t xml:space="preserve"> El uso de avances en efectivo o el pago parcial de la cartola genera costos financieros elevados que se devengan desde el día 1 de la transacción.</w:t>
      </w:r>
    </w:p>
    <w:p w14:paraId="7AD04083" w14:textId="77777777" w:rsidR="00564B2B" w:rsidRPr="00564B2B" w:rsidRDefault="00564B2B" w:rsidP="00564B2B">
      <w:pPr>
        <w:numPr>
          <w:ilvl w:val="0"/>
          <w:numId w:val="7"/>
        </w:numPr>
      </w:pPr>
      <w:r w:rsidRPr="00564B2B">
        <w:rPr>
          <w:b/>
          <w:bCs/>
        </w:rPr>
        <w:lastRenderedPageBreak/>
        <w:t>Validez Internacional:</w:t>
      </w:r>
      <w:r w:rsidRPr="00564B2B">
        <w:t xml:space="preserve"> No todas las tarjetas están habilitadas para uso extranjero; el titular debe verificar la afiliación a redes internacionales (Visa, </w:t>
      </w:r>
      <w:proofErr w:type="spellStart"/>
      <w:r w:rsidRPr="00564B2B">
        <w:t>Mastercard</w:t>
      </w:r>
      <w:proofErr w:type="spellEnd"/>
      <w:r w:rsidRPr="00564B2B">
        <w:t>, etc.) antes de viajar.</w:t>
      </w:r>
    </w:p>
    <w:p w14:paraId="2247D116" w14:textId="77777777" w:rsidR="00564B2B" w:rsidRPr="00564B2B" w:rsidRDefault="00564B2B" w:rsidP="00564B2B">
      <w:pPr>
        <w:numPr>
          <w:ilvl w:val="0"/>
          <w:numId w:val="7"/>
        </w:numPr>
      </w:pPr>
      <w:r w:rsidRPr="00564B2B">
        <w:rPr>
          <w:b/>
          <w:bCs/>
        </w:rPr>
        <w:t>Poder de Cierre:</w:t>
      </w:r>
      <w:r w:rsidRPr="00564B2B">
        <w:t xml:space="preserve"> El emisor esperará un plazo determinado tras la facturación para consolidar los cobros; los reclamos deben realizarse dentro de este periodo.</w:t>
      </w:r>
    </w:p>
    <w:p w14:paraId="382D0E56" w14:textId="77777777" w:rsidR="00564B2B" w:rsidRPr="00564B2B" w:rsidRDefault="00564B2B" w:rsidP="00564B2B">
      <w:r w:rsidRPr="00564B2B">
        <w:pict w14:anchorId="7E587CD7">
          <v:rect id="_x0000_i1066" style="width:0;height:1.5pt" o:hralign="center" o:hrstd="t" o:hr="t" fillcolor="#a0a0a0" stroked="f"/>
        </w:pict>
      </w:r>
    </w:p>
    <w:p w14:paraId="338BCED0" w14:textId="77777777" w:rsidR="00564B2B" w:rsidRPr="00564B2B" w:rsidRDefault="00564B2B" w:rsidP="00564B2B">
      <w:pPr>
        <w:rPr>
          <w:b/>
          <w:bCs/>
        </w:rPr>
      </w:pPr>
      <w:proofErr w:type="gramStart"/>
      <w:r w:rsidRPr="00564B2B">
        <w:rPr>
          <w:b/>
          <w:bCs/>
        </w:rPr>
        <w:t>Puntos a Aclarar</w:t>
      </w:r>
      <w:proofErr w:type="gramEnd"/>
      <w:r w:rsidRPr="00564B2B">
        <w:rPr>
          <w:b/>
          <w:bCs/>
        </w:rPr>
        <w:t xml:space="preserve"> o Información Faltante</w:t>
      </w:r>
    </w:p>
    <w:p w14:paraId="1589C5AD" w14:textId="77777777" w:rsidR="00564B2B" w:rsidRPr="00564B2B" w:rsidRDefault="00564B2B" w:rsidP="00564B2B">
      <w:pPr>
        <w:numPr>
          <w:ilvl w:val="0"/>
          <w:numId w:val="8"/>
        </w:numPr>
      </w:pPr>
      <w:r w:rsidRPr="00564B2B">
        <w:rPr>
          <w:b/>
          <w:bCs/>
        </w:rPr>
        <w:t>Plazos de Reclamo:</w:t>
      </w:r>
      <w:r w:rsidRPr="00564B2B">
        <w:t xml:space="preserve"> El texto original menciona un "plazo determinado" para reclamos, pero no especifica la cantidad exacta de días hábiles o corridos según la normativa de la CMF.</w:t>
      </w:r>
    </w:p>
    <w:p w14:paraId="61713598" w14:textId="77777777" w:rsidR="00564B2B" w:rsidRPr="00564B2B" w:rsidRDefault="00564B2B" w:rsidP="00564B2B">
      <w:pPr>
        <w:numPr>
          <w:ilvl w:val="0"/>
          <w:numId w:val="8"/>
        </w:numPr>
      </w:pPr>
      <w:r w:rsidRPr="00564B2B">
        <w:rPr>
          <w:b/>
          <w:bCs/>
        </w:rPr>
        <w:t>Diferenciación de Cuotas:</w:t>
      </w:r>
      <w:r w:rsidRPr="00564B2B">
        <w:t xml:space="preserve"> No se detalla la mecánica de las "cuotas comercio" frente a las "cuotas del emisor", lo cual impacta en el cálculo de intereses.</w:t>
      </w:r>
    </w:p>
    <w:p w14:paraId="4F21E774" w14:textId="77777777" w:rsidR="00564B2B" w:rsidRPr="00564B2B" w:rsidRDefault="00564B2B" w:rsidP="00564B2B">
      <w:pPr>
        <w:numPr>
          <w:ilvl w:val="0"/>
          <w:numId w:val="8"/>
        </w:numPr>
      </w:pPr>
      <w:r w:rsidRPr="00564B2B">
        <w:rPr>
          <w:b/>
          <w:bCs/>
        </w:rPr>
        <w:t>Seguros Asociados:</w:t>
      </w:r>
      <w:r w:rsidRPr="00564B2B">
        <w:t xml:space="preserve"> El texto no menciona seguros de desgravamen o de fraude, que suelen ser parte de la oferta contractual o sugerencias de seguridad.</w:t>
      </w:r>
    </w:p>
    <w:p w14:paraId="42A414F7"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D6D8B"/>
    <w:multiLevelType w:val="multilevel"/>
    <w:tmpl w:val="5D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75344"/>
    <w:multiLevelType w:val="multilevel"/>
    <w:tmpl w:val="1B56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F11F8"/>
    <w:multiLevelType w:val="multilevel"/>
    <w:tmpl w:val="1D3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27E72"/>
    <w:multiLevelType w:val="multilevel"/>
    <w:tmpl w:val="6BE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9168D1"/>
    <w:multiLevelType w:val="multilevel"/>
    <w:tmpl w:val="EB2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E7AB7"/>
    <w:multiLevelType w:val="multilevel"/>
    <w:tmpl w:val="36885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D134D2"/>
    <w:multiLevelType w:val="multilevel"/>
    <w:tmpl w:val="1148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7633B"/>
    <w:multiLevelType w:val="multilevel"/>
    <w:tmpl w:val="0FB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828542">
    <w:abstractNumId w:val="7"/>
  </w:num>
  <w:num w:numId="2" w16cid:durableId="1865437721">
    <w:abstractNumId w:val="5"/>
  </w:num>
  <w:num w:numId="3" w16cid:durableId="964233620">
    <w:abstractNumId w:val="3"/>
  </w:num>
  <w:num w:numId="4" w16cid:durableId="777606833">
    <w:abstractNumId w:val="1"/>
  </w:num>
  <w:num w:numId="5" w16cid:durableId="525407061">
    <w:abstractNumId w:val="0"/>
  </w:num>
  <w:num w:numId="6" w16cid:durableId="181862407">
    <w:abstractNumId w:val="4"/>
  </w:num>
  <w:num w:numId="7" w16cid:durableId="1527521104">
    <w:abstractNumId w:val="2"/>
  </w:num>
  <w:num w:numId="8" w16cid:durableId="1602377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2F8"/>
    <w:rsid w:val="00071C90"/>
    <w:rsid w:val="000D1EDE"/>
    <w:rsid w:val="00320D26"/>
    <w:rsid w:val="00414AB1"/>
    <w:rsid w:val="00564B2B"/>
    <w:rsid w:val="006473F9"/>
    <w:rsid w:val="00736F93"/>
    <w:rsid w:val="00B25CF3"/>
    <w:rsid w:val="00C442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91AFC"/>
  <w15:chartTrackingRefBased/>
  <w15:docId w15:val="{E1D1B67D-F006-4B23-AD71-350E0AF74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4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4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42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42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42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42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42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42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42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42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42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42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42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42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42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42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42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42F8"/>
    <w:rPr>
      <w:rFonts w:eastAsiaTheme="majorEastAsia" w:cstheme="majorBidi"/>
      <w:color w:val="272727" w:themeColor="text1" w:themeTint="D8"/>
    </w:rPr>
  </w:style>
  <w:style w:type="paragraph" w:styleId="Ttulo">
    <w:name w:val="Title"/>
    <w:basedOn w:val="Normal"/>
    <w:next w:val="Normal"/>
    <w:link w:val="TtuloCar"/>
    <w:uiPriority w:val="10"/>
    <w:qFormat/>
    <w:rsid w:val="00C44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42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42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42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42F8"/>
    <w:pPr>
      <w:spacing w:before="160"/>
      <w:jc w:val="center"/>
    </w:pPr>
    <w:rPr>
      <w:i/>
      <w:iCs/>
      <w:color w:val="404040" w:themeColor="text1" w:themeTint="BF"/>
    </w:rPr>
  </w:style>
  <w:style w:type="character" w:customStyle="1" w:styleId="CitaCar">
    <w:name w:val="Cita Car"/>
    <w:basedOn w:val="Fuentedeprrafopredeter"/>
    <w:link w:val="Cita"/>
    <w:uiPriority w:val="29"/>
    <w:rsid w:val="00C442F8"/>
    <w:rPr>
      <w:i/>
      <w:iCs/>
      <w:color w:val="404040" w:themeColor="text1" w:themeTint="BF"/>
    </w:rPr>
  </w:style>
  <w:style w:type="paragraph" w:styleId="Prrafodelista">
    <w:name w:val="List Paragraph"/>
    <w:basedOn w:val="Normal"/>
    <w:uiPriority w:val="34"/>
    <w:qFormat/>
    <w:rsid w:val="00C442F8"/>
    <w:pPr>
      <w:ind w:left="720"/>
      <w:contextualSpacing/>
    </w:pPr>
  </w:style>
  <w:style w:type="character" w:styleId="nfasisintenso">
    <w:name w:val="Intense Emphasis"/>
    <w:basedOn w:val="Fuentedeprrafopredeter"/>
    <w:uiPriority w:val="21"/>
    <w:qFormat/>
    <w:rsid w:val="00C442F8"/>
    <w:rPr>
      <w:i/>
      <w:iCs/>
      <w:color w:val="0F4761" w:themeColor="accent1" w:themeShade="BF"/>
    </w:rPr>
  </w:style>
  <w:style w:type="paragraph" w:styleId="Citadestacada">
    <w:name w:val="Intense Quote"/>
    <w:basedOn w:val="Normal"/>
    <w:next w:val="Normal"/>
    <w:link w:val="CitadestacadaCar"/>
    <w:uiPriority w:val="30"/>
    <w:qFormat/>
    <w:rsid w:val="00C44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42F8"/>
    <w:rPr>
      <w:i/>
      <w:iCs/>
      <w:color w:val="0F4761" w:themeColor="accent1" w:themeShade="BF"/>
    </w:rPr>
  </w:style>
  <w:style w:type="character" w:styleId="Referenciaintensa">
    <w:name w:val="Intense Reference"/>
    <w:basedOn w:val="Fuentedeprrafopredeter"/>
    <w:uiPriority w:val="32"/>
    <w:qFormat/>
    <w:rsid w:val="00C44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890</Words>
  <Characters>4897</Characters>
  <Application>Microsoft Office Word</Application>
  <DocSecurity>0</DocSecurity>
  <Lines>40</Lines>
  <Paragraphs>11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2026-05-06T22:17:00Z</dcterms:created>
  <dcterms:modified xsi:type="dcterms:W3CDTF">2026-05-06T22:18:00Z</dcterms:modified>
</cp:coreProperties>
</file>