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66921" w14:textId="77777777" w:rsidR="00956F52" w:rsidRPr="00956F52" w:rsidRDefault="00956F52" w:rsidP="00956F52">
      <w:pPr>
        <w:rPr>
          <w:b/>
          <w:bCs/>
        </w:rPr>
      </w:pPr>
      <w:r w:rsidRPr="00956F52">
        <w:rPr>
          <w:b/>
          <w:bCs/>
        </w:rPr>
        <w:t>Interrelación entre el Presupuesto Mensual y la Capacidad de Ahorro</w:t>
      </w:r>
    </w:p>
    <w:p w14:paraId="5EABEAD5" w14:textId="77777777" w:rsidR="00956F52" w:rsidRPr="00956F52" w:rsidRDefault="00956F52" w:rsidP="00956F52">
      <w:pPr>
        <w:rPr>
          <w:b/>
          <w:bCs/>
        </w:rPr>
      </w:pPr>
      <w:r w:rsidRPr="00956F52">
        <w:rPr>
          <w:b/>
          <w:bCs/>
        </w:rPr>
        <w:t>Resumen Ejecutivo</w:t>
      </w:r>
    </w:p>
    <w:p w14:paraId="045CD10A" w14:textId="77777777" w:rsidR="00956F52" w:rsidRPr="00956F52" w:rsidRDefault="00956F52" w:rsidP="00956F52">
      <w:r w:rsidRPr="00956F52">
        <w:t xml:space="preserve">El presupuesto constituye la herramienta técnica fundamental para la planificación financiera personal, permitiendo identificar con precisión el excedente de capital destinado al ahorro. Su función principal es el control y pronóstico de flujos, contrastando el ingreso líquido con los egresos (fijos, variables y financieros). Una ejecución presupuestaria disciplinada no solo facilita la reducción de gastos ineficientes, sino que determina la </w:t>
      </w:r>
      <w:r w:rsidRPr="00956F52">
        <w:rPr>
          <w:b/>
          <w:bCs/>
        </w:rPr>
        <w:t>capacidad de pago</w:t>
      </w:r>
      <w:r w:rsidRPr="00956F52">
        <w:t>, umbral crítico para la toma responsable de créditos y la acumulación de patrimonio.</w:t>
      </w:r>
    </w:p>
    <w:p w14:paraId="77CC1012" w14:textId="77777777" w:rsidR="00956F52" w:rsidRPr="00956F52" w:rsidRDefault="00956F52" w:rsidP="00956F52">
      <w:r w:rsidRPr="00956F52">
        <w:pict w14:anchorId="69AF306B">
          <v:rect id="_x0000_i1061" style="width:0;height:1.5pt" o:hralign="center" o:hrstd="t" o:hr="t" fillcolor="#a0a0a0" stroked="f"/>
        </w:pict>
      </w:r>
    </w:p>
    <w:p w14:paraId="6A917F84" w14:textId="77777777" w:rsidR="00956F52" w:rsidRPr="00956F52" w:rsidRDefault="00956F52" w:rsidP="00956F52">
      <w:pPr>
        <w:rPr>
          <w:b/>
          <w:bCs/>
        </w:rPr>
      </w:pPr>
      <w:r w:rsidRPr="00956F52">
        <w:rPr>
          <w:b/>
          <w:bCs/>
        </w:rPr>
        <w:t>Contexto y Propósito del Documento</w:t>
      </w:r>
    </w:p>
    <w:p w14:paraId="6AD5EA41" w14:textId="77777777" w:rsidR="00956F52" w:rsidRPr="00956F52" w:rsidRDefault="00956F52" w:rsidP="00956F52">
      <w:r w:rsidRPr="00956F52">
        <w:t>Este documento estructura la metodología para elaborar un plan de gastos mensual y su impacto directo en la generación de ahorro. El propósito es proveer un marco analítico que permita al usuario transitar desde el registro de gastos diarios hacia la determinación técnica de su capacidad de endeudamiento y ahorro, utilizando para ello el contraste de ingresos y egresos.</w:t>
      </w:r>
    </w:p>
    <w:p w14:paraId="2B88B0C2" w14:textId="77777777" w:rsidR="00956F52" w:rsidRPr="00956F52" w:rsidRDefault="00956F52" w:rsidP="00956F52">
      <w:r w:rsidRPr="00956F52">
        <w:pict w14:anchorId="00E171A9">
          <v:rect id="_x0000_i1062" style="width:0;height:1.5pt" o:hralign="center" o:hrstd="t" o:hr="t" fillcolor="#a0a0a0" stroked="f"/>
        </w:pict>
      </w:r>
    </w:p>
    <w:p w14:paraId="35F1C0BE" w14:textId="77777777" w:rsidR="00956F52" w:rsidRPr="00956F52" w:rsidRDefault="00956F52" w:rsidP="00956F52">
      <w:pPr>
        <w:rPr>
          <w:b/>
          <w:bCs/>
        </w:rPr>
      </w:pPr>
      <w:r w:rsidRPr="00956F52">
        <w:rPr>
          <w:b/>
          <w:bCs/>
        </w:rPr>
        <w:t>Desarrollo del Contenido</w:t>
      </w:r>
    </w:p>
    <w:p w14:paraId="167C10B1" w14:textId="77777777" w:rsidR="00956F52" w:rsidRPr="00956F52" w:rsidRDefault="00956F52" w:rsidP="00956F52">
      <w:pPr>
        <w:rPr>
          <w:b/>
          <w:bCs/>
        </w:rPr>
      </w:pPr>
      <w:r w:rsidRPr="00956F52">
        <w:rPr>
          <w:b/>
          <w:bCs/>
        </w:rPr>
        <w:t>Sección 1: El Presupuesto como Instrumento de Gestión</w:t>
      </w:r>
    </w:p>
    <w:p w14:paraId="30991DB5" w14:textId="77777777" w:rsidR="00956F52" w:rsidRPr="00956F52" w:rsidRDefault="00956F52" w:rsidP="00956F52">
      <w:r w:rsidRPr="00956F52">
        <w:t>La eficiencia en el ahorro no es un evento fortuito, sino el resultado de un control sistemático de los recursos:</w:t>
      </w:r>
    </w:p>
    <w:p w14:paraId="7D158690" w14:textId="77777777" w:rsidR="00956F52" w:rsidRPr="00956F52" w:rsidRDefault="00956F52" w:rsidP="00956F52">
      <w:pPr>
        <w:numPr>
          <w:ilvl w:val="0"/>
          <w:numId w:val="1"/>
        </w:numPr>
      </w:pPr>
      <w:r w:rsidRPr="00956F52">
        <w:rPr>
          <w:b/>
          <w:bCs/>
        </w:rPr>
        <w:t>Función de Pronóstico:</w:t>
      </w:r>
      <w:r w:rsidRPr="00956F52">
        <w:t xml:space="preserve"> Permite anticipar los gastos frecuentes de cada mes y asignar recursos de manera estratégica.</w:t>
      </w:r>
    </w:p>
    <w:p w14:paraId="3DD82C09" w14:textId="77777777" w:rsidR="00956F52" w:rsidRPr="00956F52" w:rsidRDefault="00956F52" w:rsidP="00956F52">
      <w:pPr>
        <w:numPr>
          <w:ilvl w:val="0"/>
          <w:numId w:val="1"/>
        </w:numPr>
      </w:pPr>
      <w:r w:rsidRPr="00956F52">
        <w:rPr>
          <w:b/>
          <w:bCs/>
        </w:rPr>
        <w:t>Control Operativo:</w:t>
      </w:r>
      <w:r w:rsidRPr="00956F52">
        <w:t xml:space="preserve"> Facilita el seguimiento de los gastos diarios, permitiendo identificar desviaciones respecto al plan original.</w:t>
      </w:r>
    </w:p>
    <w:p w14:paraId="291E3A80" w14:textId="77777777" w:rsidR="00956F52" w:rsidRPr="00956F52" w:rsidRDefault="00956F52" w:rsidP="00956F52">
      <w:pPr>
        <w:numPr>
          <w:ilvl w:val="0"/>
          <w:numId w:val="1"/>
        </w:numPr>
      </w:pPr>
      <w:r w:rsidRPr="00956F52">
        <w:rPr>
          <w:b/>
          <w:bCs/>
        </w:rPr>
        <w:t>Identificación de Oportunidades:</w:t>
      </w:r>
      <w:r w:rsidRPr="00956F52">
        <w:t xml:space="preserve"> Al desglosar el uso del dinero, el presupuesto revela áreas donde es factible reducir costos para incrementar el margen de ahorro.</w:t>
      </w:r>
    </w:p>
    <w:p w14:paraId="07B70331" w14:textId="77777777" w:rsidR="00956F52" w:rsidRPr="00956F52" w:rsidRDefault="00956F52" w:rsidP="00956F52">
      <w:pPr>
        <w:rPr>
          <w:b/>
          <w:bCs/>
        </w:rPr>
      </w:pPr>
      <w:r w:rsidRPr="00956F52">
        <w:rPr>
          <w:b/>
          <w:bCs/>
        </w:rPr>
        <w:t>Sección 2: Metodología de Cálculo de la Capacidad de Pago</w:t>
      </w:r>
    </w:p>
    <w:p w14:paraId="1302153E" w14:textId="77777777" w:rsidR="00956F52" w:rsidRPr="00956F52" w:rsidRDefault="00956F52" w:rsidP="00956F52">
      <w:r w:rsidRPr="00956F52">
        <w:lastRenderedPageBreak/>
        <w:t>La capacidad de pago se define como el monto máximo por el cual una persona puede endeudarse sin comprometer su estabilidad financiera. El proceso de cálculo sigue esta estructura lógica:</w:t>
      </w:r>
    </w:p>
    <w:p w14:paraId="51F5A5F7" w14:textId="77777777" w:rsidR="00956F52" w:rsidRPr="00956F52" w:rsidRDefault="00956F52" w:rsidP="00956F52">
      <w:pPr>
        <w:numPr>
          <w:ilvl w:val="0"/>
          <w:numId w:val="2"/>
        </w:numPr>
      </w:pPr>
      <w:r w:rsidRPr="00956F52">
        <w:rPr>
          <w:b/>
          <w:bCs/>
        </w:rPr>
        <w:t>Determinación del Ingreso Neto:</w:t>
      </w:r>
      <w:r w:rsidRPr="00956F52">
        <w:t xml:space="preserve"> Cálculo de la remuneración líquida mensual (ingreso percibido tras descuentos legales).</w:t>
      </w:r>
    </w:p>
    <w:p w14:paraId="57ECE8A5" w14:textId="77777777" w:rsidR="00956F52" w:rsidRPr="00956F52" w:rsidRDefault="00956F52" w:rsidP="00956F52">
      <w:pPr>
        <w:numPr>
          <w:ilvl w:val="0"/>
          <w:numId w:val="2"/>
        </w:numPr>
      </w:pPr>
      <w:r w:rsidRPr="00956F52">
        <w:rPr>
          <w:b/>
          <w:bCs/>
        </w:rPr>
        <w:t>Deducción de Gastos Fijos:</w:t>
      </w:r>
      <w:r w:rsidRPr="00956F52">
        <w:t xml:space="preserve"> Resta de compromisos ineludibles como alimentación, vivienda (arriendo/dividendo), servicios básicos (luz, agua, gas, conectividad) y educación.</w:t>
      </w:r>
    </w:p>
    <w:p w14:paraId="36A5DBB5" w14:textId="77777777" w:rsidR="00956F52" w:rsidRPr="00956F52" w:rsidRDefault="00956F52" w:rsidP="00956F52">
      <w:pPr>
        <w:numPr>
          <w:ilvl w:val="0"/>
          <w:numId w:val="2"/>
        </w:numPr>
      </w:pPr>
      <w:r w:rsidRPr="00956F52">
        <w:rPr>
          <w:b/>
          <w:bCs/>
        </w:rPr>
        <w:t>Estimación de Gastos Variables y Otros:</w:t>
      </w:r>
      <w:r w:rsidRPr="00956F52">
        <w:t xml:space="preserve"> Cálculo de egresos por transporte (bencina), vestuario, calzado y recreación.</w:t>
      </w:r>
    </w:p>
    <w:p w14:paraId="13EA7976" w14:textId="77777777" w:rsidR="00956F52" w:rsidRPr="00956F52" w:rsidRDefault="00956F52" w:rsidP="00956F52">
      <w:pPr>
        <w:numPr>
          <w:ilvl w:val="0"/>
          <w:numId w:val="2"/>
        </w:numPr>
      </w:pPr>
      <w:r w:rsidRPr="00956F52">
        <w:rPr>
          <w:b/>
          <w:bCs/>
        </w:rPr>
        <w:t>Servicio de Deuda:</w:t>
      </w:r>
      <w:r w:rsidRPr="00956F52">
        <w:t xml:space="preserve"> Resta de las cuotas de créditos o compromisos financieros vigentes.</w:t>
      </w:r>
    </w:p>
    <w:p w14:paraId="25425B04" w14:textId="77777777" w:rsidR="00956F52" w:rsidRPr="00956F52" w:rsidRDefault="00956F52" w:rsidP="00956F52">
      <w:pPr>
        <w:rPr>
          <w:b/>
          <w:bCs/>
        </w:rPr>
      </w:pPr>
      <w:r w:rsidRPr="00956F52">
        <w:rPr>
          <w:b/>
          <w:bCs/>
        </w:rPr>
        <w:t>Sección 3: Análisis de Resultados e Interpretación</w:t>
      </w:r>
    </w:p>
    <w:p w14:paraId="7DAA764D" w14:textId="77777777" w:rsidR="00956F52" w:rsidRPr="00956F52" w:rsidRDefault="00956F52" w:rsidP="00956F52">
      <w:r w:rsidRPr="00956F52">
        <w:t>El resultado del flujo de caja proyectado determina la salud financiera del individuo:</w:t>
      </w:r>
    </w:p>
    <w:p w14:paraId="0F895D9D" w14:textId="77777777" w:rsidR="00956F52" w:rsidRPr="00956F52" w:rsidRDefault="00956F52" w:rsidP="00956F52">
      <w:pPr>
        <w:numPr>
          <w:ilvl w:val="0"/>
          <w:numId w:val="3"/>
        </w:numPr>
      </w:pPr>
      <w:r w:rsidRPr="00956F52">
        <w:rPr>
          <w:b/>
          <w:bCs/>
        </w:rPr>
        <w:t>Resultado Cero o Cercano a Cero:</w:t>
      </w:r>
      <w:r w:rsidRPr="00956F52">
        <w:t xml:space="preserve"> Indica una ausencia total de capacidad de ahorro. Bajo este escenario, se desaconseja estrictamente la adquisición de nuevos créditos, ya que el flujo de ingresos apenas cubre las obligaciones existentes.</w:t>
      </w:r>
    </w:p>
    <w:p w14:paraId="23D90A68" w14:textId="77777777" w:rsidR="00956F52" w:rsidRPr="00956F52" w:rsidRDefault="00956F52" w:rsidP="00956F52">
      <w:pPr>
        <w:numPr>
          <w:ilvl w:val="0"/>
          <w:numId w:val="3"/>
        </w:numPr>
      </w:pPr>
      <w:r w:rsidRPr="00956F52">
        <w:rPr>
          <w:b/>
          <w:bCs/>
        </w:rPr>
        <w:t>Resultado Positivo (Superávit):</w:t>
      </w:r>
      <w:r w:rsidRPr="00956F52">
        <w:t xml:space="preserve"> El excedente resultante de gastar menos de lo que se ingresa constituye el capital disponible para el ahorro o para ampliar la capacidad de pago.</w:t>
      </w:r>
    </w:p>
    <w:p w14:paraId="5870FE5D" w14:textId="77777777" w:rsidR="00956F52" w:rsidRPr="00956F52" w:rsidRDefault="00956F52" w:rsidP="00956F52">
      <w:r w:rsidRPr="00956F52">
        <w:pict w14:anchorId="63D20C60">
          <v:rect id="_x0000_i1063" style="width:0;height:1.5pt" o:hralign="center" o:hrstd="t" o:hr="t" fillcolor="#a0a0a0" stroked="f"/>
        </w:pict>
      </w:r>
    </w:p>
    <w:p w14:paraId="01DB13AD" w14:textId="77777777" w:rsidR="00956F52" w:rsidRPr="00956F52" w:rsidRDefault="00956F52" w:rsidP="00956F52">
      <w:pPr>
        <w:rPr>
          <w:b/>
          <w:bCs/>
        </w:rPr>
      </w:pPr>
      <w:r w:rsidRPr="00956F52">
        <w:rPr>
          <w:b/>
          <w:bCs/>
        </w:rPr>
        <w:t>Conceptos Financieros Clave</w:t>
      </w:r>
    </w:p>
    <w:p w14:paraId="4C8E77D0" w14:textId="77777777" w:rsidR="00956F52" w:rsidRPr="00956F52" w:rsidRDefault="00956F52" w:rsidP="00956F52">
      <w:pPr>
        <w:numPr>
          <w:ilvl w:val="0"/>
          <w:numId w:val="4"/>
        </w:numPr>
      </w:pPr>
      <w:r w:rsidRPr="00956F52">
        <w:rPr>
          <w:b/>
          <w:bCs/>
        </w:rPr>
        <w:t>Ingreso Neto Mensual:</w:t>
      </w:r>
      <w:r w:rsidRPr="00956F52">
        <w:t xml:space="preserve"> Cantidad total de dinero recibida efectivamente tras impuestos y retenciones.</w:t>
      </w:r>
    </w:p>
    <w:p w14:paraId="1097479A" w14:textId="77777777" w:rsidR="00956F52" w:rsidRPr="00956F52" w:rsidRDefault="00956F52" w:rsidP="00956F52">
      <w:pPr>
        <w:numPr>
          <w:ilvl w:val="0"/>
          <w:numId w:val="4"/>
        </w:numPr>
      </w:pPr>
      <w:r w:rsidRPr="00956F52">
        <w:rPr>
          <w:b/>
          <w:bCs/>
        </w:rPr>
        <w:t>Gastos Fijos:</w:t>
      </w:r>
      <w:r w:rsidRPr="00956F52">
        <w:t xml:space="preserve"> Egresos obligatorios que se mantienen constantes o son necesarios para la subsistencia básica.</w:t>
      </w:r>
    </w:p>
    <w:p w14:paraId="16A28BAE" w14:textId="77777777" w:rsidR="00956F52" w:rsidRPr="00956F52" w:rsidRDefault="00956F52" w:rsidP="00956F52">
      <w:pPr>
        <w:numPr>
          <w:ilvl w:val="0"/>
          <w:numId w:val="4"/>
        </w:numPr>
      </w:pPr>
      <w:r w:rsidRPr="00956F52">
        <w:rPr>
          <w:b/>
          <w:bCs/>
        </w:rPr>
        <w:t>Capacidad de Pago:</w:t>
      </w:r>
      <w:r w:rsidRPr="00956F52">
        <w:t xml:space="preserve"> Límite financiero para asumir nuevas obligaciones de deuda basado en el excedente de ingresos.</w:t>
      </w:r>
    </w:p>
    <w:p w14:paraId="74D5568B" w14:textId="77777777" w:rsidR="00956F52" w:rsidRPr="00956F52" w:rsidRDefault="00956F52" w:rsidP="00956F52">
      <w:pPr>
        <w:numPr>
          <w:ilvl w:val="0"/>
          <w:numId w:val="4"/>
        </w:numPr>
      </w:pPr>
      <w:r w:rsidRPr="00956F52">
        <w:rPr>
          <w:b/>
          <w:bCs/>
        </w:rPr>
        <w:t>Líquido Recibido:</w:t>
      </w:r>
      <w:r w:rsidRPr="00956F52">
        <w:t xml:space="preserve"> Monto final de remuneración que queda a disposición del trabajador para su uso.</w:t>
      </w:r>
    </w:p>
    <w:p w14:paraId="37660583" w14:textId="77777777" w:rsidR="00956F52" w:rsidRPr="00956F52" w:rsidRDefault="00956F52" w:rsidP="00956F52">
      <w:r w:rsidRPr="00956F52">
        <w:lastRenderedPageBreak/>
        <w:pict w14:anchorId="0C31B09F">
          <v:rect id="_x0000_i1064" style="width:0;height:1.5pt" o:hralign="center" o:hrstd="t" o:hr="t" fillcolor="#a0a0a0" stroked="f"/>
        </w:pict>
      </w:r>
    </w:p>
    <w:p w14:paraId="5FEE4589" w14:textId="77777777" w:rsidR="00956F52" w:rsidRPr="00956F52" w:rsidRDefault="00956F52" w:rsidP="00956F52">
      <w:pPr>
        <w:rPr>
          <w:b/>
          <w:bCs/>
        </w:rPr>
      </w:pPr>
      <w:r w:rsidRPr="00956F52">
        <w:rPr>
          <w:b/>
          <w:bCs/>
        </w:rPr>
        <w:t>Conclusiones / Ideas Principales</w:t>
      </w:r>
    </w:p>
    <w:p w14:paraId="52EE7588" w14:textId="77777777" w:rsidR="00956F52" w:rsidRPr="00956F52" w:rsidRDefault="00956F52" w:rsidP="00956F52">
      <w:pPr>
        <w:numPr>
          <w:ilvl w:val="0"/>
          <w:numId w:val="5"/>
        </w:numPr>
      </w:pPr>
      <w:r w:rsidRPr="00956F52">
        <w:t xml:space="preserve">El presupuesto es el </w:t>
      </w:r>
      <w:r w:rsidRPr="00956F52">
        <w:rPr>
          <w:b/>
          <w:bCs/>
        </w:rPr>
        <w:t>diagnóstico financiero</w:t>
      </w:r>
      <w:r w:rsidRPr="00956F52">
        <w:t xml:space="preserve"> necesario para determinar si existe capacidad de ahorro.</w:t>
      </w:r>
    </w:p>
    <w:p w14:paraId="211FB74D" w14:textId="77777777" w:rsidR="00956F52" w:rsidRPr="00956F52" w:rsidRDefault="00956F52" w:rsidP="00956F52">
      <w:pPr>
        <w:numPr>
          <w:ilvl w:val="0"/>
          <w:numId w:val="5"/>
        </w:numPr>
      </w:pPr>
      <w:r w:rsidRPr="00956F52">
        <w:t xml:space="preserve">La </w:t>
      </w:r>
      <w:r w:rsidRPr="00956F52">
        <w:rPr>
          <w:b/>
          <w:bCs/>
        </w:rPr>
        <w:t>disciplina presupuestaria</w:t>
      </w:r>
      <w:r w:rsidRPr="00956F52">
        <w:t xml:space="preserve"> (mantener y respetar el plan) es el único mecanismo que garantiza la visibilidad de fondos para el ahorro.</w:t>
      </w:r>
    </w:p>
    <w:p w14:paraId="58C7D718" w14:textId="77777777" w:rsidR="00956F52" w:rsidRPr="00956F52" w:rsidRDefault="00956F52" w:rsidP="00956F52">
      <w:pPr>
        <w:numPr>
          <w:ilvl w:val="0"/>
          <w:numId w:val="5"/>
        </w:numPr>
      </w:pPr>
      <w:r w:rsidRPr="00956F52">
        <w:t>Un presupuesto con saldo equilibrado (ingresos = gastos) es una señal de alerta que prohíbe el endeudamiento adicional.</w:t>
      </w:r>
    </w:p>
    <w:p w14:paraId="0593908F" w14:textId="77777777" w:rsidR="00956F52" w:rsidRPr="00956F52" w:rsidRDefault="00956F52" w:rsidP="00956F52">
      <w:r w:rsidRPr="00956F52">
        <w:pict w14:anchorId="6951785C">
          <v:rect id="_x0000_i1065" style="width:0;height:1.5pt" o:hralign="center" o:hrstd="t" o:hr="t" fillcolor="#a0a0a0" stroked="f"/>
        </w:pict>
      </w:r>
    </w:p>
    <w:p w14:paraId="091D7374" w14:textId="77777777" w:rsidR="00956F52" w:rsidRPr="00956F52" w:rsidRDefault="00956F52" w:rsidP="00956F52">
      <w:pPr>
        <w:rPr>
          <w:b/>
          <w:bCs/>
        </w:rPr>
      </w:pPr>
      <w:r w:rsidRPr="00956F52">
        <w:rPr>
          <w:b/>
          <w:bCs/>
        </w:rPr>
        <w:t>Supuestos, Riesgos o Consideraciones Relevantes</w:t>
      </w:r>
    </w:p>
    <w:p w14:paraId="49E2D0C7" w14:textId="77777777" w:rsidR="00956F52" w:rsidRPr="00956F52" w:rsidRDefault="00956F52" w:rsidP="00956F52">
      <w:pPr>
        <w:numPr>
          <w:ilvl w:val="0"/>
          <w:numId w:val="6"/>
        </w:numPr>
      </w:pPr>
      <w:r w:rsidRPr="00956F52">
        <w:rPr>
          <w:b/>
          <w:bCs/>
        </w:rPr>
        <w:t>Sinceridad de Datos:</w:t>
      </w:r>
      <w:r w:rsidRPr="00956F52">
        <w:t xml:space="preserve"> El presupuesto solo es efectivo si se conocen los gastos "con exactitud". La omisión de gastos menores puede invalidar el cálculo de la capacidad de pago.</w:t>
      </w:r>
    </w:p>
    <w:p w14:paraId="1D703F82" w14:textId="77777777" w:rsidR="00956F52" w:rsidRPr="00956F52" w:rsidRDefault="00956F52" w:rsidP="00956F52">
      <w:pPr>
        <w:numPr>
          <w:ilvl w:val="0"/>
          <w:numId w:val="6"/>
        </w:numPr>
      </w:pPr>
      <w:r w:rsidRPr="00956F52">
        <w:rPr>
          <w:b/>
          <w:bCs/>
        </w:rPr>
        <w:t>Riesgo de Endeudamiento:</w:t>
      </w:r>
      <w:r w:rsidRPr="00956F52">
        <w:t xml:space="preserve"> Tomar créditos cuando el flujo de caja es cercano a cero incrementa exponencialmente el riesgo de insolvencia.</w:t>
      </w:r>
    </w:p>
    <w:p w14:paraId="76411033" w14:textId="77777777" w:rsidR="00956F52" w:rsidRPr="00956F52" w:rsidRDefault="00956F52" w:rsidP="00956F52">
      <w:r w:rsidRPr="00956F52">
        <w:pict w14:anchorId="75834EE4">
          <v:rect id="_x0000_i1066" style="width:0;height:1.5pt" o:hralign="center" o:hrstd="t" o:hr="t" fillcolor="#a0a0a0" stroked="f"/>
        </w:pict>
      </w:r>
    </w:p>
    <w:p w14:paraId="39177AA6" w14:textId="77777777" w:rsidR="00956F52" w:rsidRPr="00956F52" w:rsidRDefault="00956F52" w:rsidP="00956F52">
      <w:pPr>
        <w:rPr>
          <w:b/>
          <w:bCs/>
        </w:rPr>
      </w:pPr>
      <w:proofErr w:type="gramStart"/>
      <w:r w:rsidRPr="00956F52">
        <w:rPr>
          <w:b/>
          <w:bCs/>
        </w:rPr>
        <w:t>Puntos a Aclarar</w:t>
      </w:r>
      <w:proofErr w:type="gramEnd"/>
      <w:r w:rsidRPr="00956F52">
        <w:rPr>
          <w:b/>
          <w:bCs/>
        </w:rPr>
        <w:t xml:space="preserve"> o Información Faltante</w:t>
      </w:r>
    </w:p>
    <w:p w14:paraId="54C9118A" w14:textId="77777777" w:rsidR="00956F52" w:rsidRPr="00956F52" w:rsidRDefault="00956F52" w:rsidP="00956F52">
      <w:pPr>
        <w:numPr>
          <w:ilvl w:val="0"/>
          <w:numId w:val="7"/>
        </w:numPr>
      </w:pPr>
      <w:r w:rsidRPr="00956F52">
        <w:rPr>
          <w:b/>
          <w:bCs/>
        </w:rPr>
        <w:t>Gastos Imprevistos:</w:t>
      </w:r>
      <w:r w:rsidRPr="00956F52">
        <w:t xml:space="preserve"> El modelo de cálculo proporcionado no menciona la creación de un "fondo de emergencia" o reserva para contingencias dentro de los gastos mensuales.</w:t>
      </w:r>
    </w:p>
    <w:p w14:paraId="40B2AFCD" w14:textId="77777777" w:rsidR="00956F52" w:rsidRPr="00956F52" w:rsidRDefault="00956F52" w:rsidP="00956F52">
      <w:pPr>
        <w:numPr>
          <w:ilvl w:val="0"/>
          <w:numId w:val="7"/>
        </w:numPr>
      </w:pPr>
      <w:r w:rsidRPr="00956F52">
        <w:rPr>
          <w:b/>
          <w:bCs/>
        </w:rPr>
        <w:t>Variabilidad del Ingreso:</w:t>
      </w:r>
      <w:r w:rsidRPr="00956F52">
        <w:t xml:space="preserve"> No se especifica cómo proceder en caso de ingresos variables (comisiones, bonos o trabajadores independientes).</w:t>
      </w:r>
    </w:p>
    <w:p w14:paraId="220F2F0E" w14:textId="77777777" w:rsidR="00956F52" w:rsidRPr="00956F52" w:rsidRDefault="00956F52" w:rsidP="00956F52">
      <w:pPr>
        <w:numPr>
          <w:ilvl w:val="0"/>
          <w:numId w:val="7"/>
        </w:numPr>
      </w:pPr>
      <w:r w:rsidRPr="00956F52">
        <w:rPr>
          <w:b/>
          <w:bCs/>
        </w:rPr>
        <w:t>Simuladores Específicos:</w:t>
      </w:r>
      <w:r w:rsidRPr="00956F52">
        <w:t xml:space="preserve"> Se hace mención </w:t>
      </w:r>
      <w:proofErr w:type="gramStart"/>
      <w:r w:rsidRPr="00956F52">
        <w:t>a</w:t>
      </w:r>
      <w:proofErr w:type="gramEnd"/>
      <w:r w:rsidRPr="00956F52">
        <w:t xml:space="preserve"> calculadoras de la CMF, pero no se detallan las fórmulas internas que estas utilizan para determinar la factibilidad del ahorro.</w:t>
      </w:r>
    </w:p>
    <w:p w14:paraId="6E33A36E"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F4087"/>
    <w:multiLevelType w:val="multilevel"/>
    <w:tmpl w:val="7C8E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36E6D"/>
    <w:multiLevelType w:val="multilevel"/>
    <w:tmpl w:val="524C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22458"/>
    <w:multiLevelType w:val="multilevel"/>
    <w:tmpl w:val="06F0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F6C07"/>
    <w:multiLevelType w:val="multilevel"/>
    <w:tmpl w:val="33DC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4623E"/>
    <w:multiLevelType w:val="multilevel"/>
    <w:tmpl w:val="6C241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624680"/>
    <w:multiLevelType w:val="multilevel"/>
    <w:tmpl w:val="BEB4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FE3611"/>
    <w:multiLevelType w:val="multilevel"/>
    <w:tmpl w:val="F4F2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821368">
    <w:abstractNumId w:val="5"/>
  </w:num>
  <w:num w:numId="2" w16cid:durableId="1497843445">
    <w:abstractNumId w:val="4"/>
  </w:num>
  <w:num w:numId="3" w16cid:durableId="1859780681">
    <w:abstractNumId w:val="6"/>
  </w:num>
  <w:num w:numId="4" w16cid:durableId="1795832389">
    <w:abstractNumId w:val="1"/>
  </w:num>
  <w:num w:numId="5" w16cid:durableId="428817696">
    <w:abstractNumId w:val="0"/>
  </w:num>
  <w:num w:numId="6" w16cid:durableId="1662007650">
    <w:abstractNumId w:val="3"/>
  </w:num>
  <w:num w:numId="7" w16cid:durableId="565144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849"/>
    <w:rsid w:val="00071C90"/>
    <w:rsid w:val="000D1EDE"/>
    <w:rsid w:val="00111849"/>
    <w:rsid w:val="00320D26"/>
    <w:rsid w:val="00414AB1"/>
    <w:rsid w:val="005154A9"/>
    <w:rsid w:val="006473F9"/>
    <w:rsid w:val="00736F93"/>
    <w:rsid w:val="00956F5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61667"/>
  <w15:chartTrackingRefBased/>
  <w15:docId w15:val="{385C8D8D-1520-424B-9E0A-536821103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1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1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18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18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18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18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18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18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18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18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18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18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18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18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18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18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18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1849"/>
    <w:rPr>
      <w:rFonts w:eastAsiaTheme="majorEastAsia" w:cstheme="majorBidi"/>
      <w:color w:val="272727" w:themeColor="text1" w:themeTint="D8"/>
    </w:rPr>
  </w:style>
  <w:style w:type="paragraph" w:styleId="Ttulo">
    <w:name w:val="Title"/>
    <w:basedOn w:val="Normal"/>
    <w:next w:val="Normal"/>
    <w:link w:val="TtuloCar"/>
    <w:uiPriority w:val="10"/>
    <w:qFormat/>
    <w:rsid w:val="00111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18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18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18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1849"/>
    <w:pPr>
      <w:spacing w:before="160"/>
      <w:jc w:val="center"/>
    </w:pPr>
    <w:rPr>
      <w:i/>
      <w:iCs/>
      <w:color w:val="404040" w:themeColor="text1" w:themeTint="BF"/>
    </w:rPr>
  </w:style>
  <w:style w:type="character" w:customStyle="1" w:styleId="CitaCar">
    <w:name w:val="Cita Car"/>
    <w:basedOn w:val="Fuentedeprrafopredeter"/>
    <w:link w:val="Cita"/>
    <w:uiPriority w:val="29"/>
    <w:rsid w:val="00111849"/>
    <w:rPr>
      <w:i/>
      <w:iCs/>
      <w:color w:val="404040" w:themeColor="text1" w:themeTint="BF"/>
    </w:rPr>
  </w:style>
  <w:style w:type="paragraph" w:styleId="Prrafodelista">
    <w:name w:val="List Paragraph"/>
    <w:basedOn w:val="Normal"/>
    <w:uiPriority w:val="34"/>
    <w:qFormat/>
    <w:rsid w:val="00111849"/>
    <w:pPr>
      <w:ind w:left="720"/>
      <w:contextualSpacing/>
    </w:pPr>
  </w:style>
  <w:style w:type="character" w:styleId="nfasisintenso">
    <w:name w:val="Intense Emphasis"/>
    <w:basedOn w:val="Fuentedeprrafopredeter"/>
    <w:uiPriority w:val="21"/>
    <w:qFormat/>
    <w:rsid w:val="00111849"/>
    <w:rPr>
      <w:i/>
      <w:iCs/>
      <w:color w:val="0F4761" w:themeColor="accent1" w:themeShade="BF"/>
    </w:rPr>
  </w:style>
  <w:style w:type="paragraph" w:styleId="Citadestacada">
    <w:name w:val="Intense Quote"/>
    <w:basedOn w:val="Normal"/>
    <w:next w:val="Normal"/>
    <w:link w:val="CitadestacadaCar"/>
    <w:uiPriority w:val="30"/>
    <w:qFormat/>
    <w:rsid w:val="00111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1849"/>
    <w:rPr>
      <w:i/>
      <w:iCs/>
      <w:color w:val="0F4761" w:themeColor="accent1" w:themeShade="BF"/>
    </w:rPr>
  </w:style>
  <w:style w:type="character" w:styleId="Referenciaintensa">
    <w:name w:val="Intense Reference"/>
    <w:basedOn w:val="Fuentedeprrafopredeter"/>
    <w:uiPriority w:val="32"/>
    <w:qFormat/>
    <w:rsid w:val="001118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719</Words>
  <Characters>3955</Characters>
  <Application>Microsoft Office Word</Application>
  <DocSecurity>0</DocSecurity>
  <Lines>32</Lines>
  <Paragraphs>9</Paragraphs>
  <ScaleCrop>false</ScaleCrop>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2026-05-07T00:26:00Z</dcterms:created>
  <dcterms:modified xsi:type="dcterms:W3CDTF">2026-05-07T00:27:00Z</dcterms:modified>
</cp:coreProperties>
</file>