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444D5" w14:textId="77777777" w:rsidR="00D320A8" w:rsidRPr="00D320A8" w:rsidRDefault="00D320A8" w:rsidP="00D320A8">
      <w:pPr>
        <w:rPr>
          <w:b/>
          <w:bCs/>
        </w:rPr>
      </w:pPr>
      <w:r w:rsidRPr="00D320A8">
        <w:rPr>
          <w:b/>
          <w:bCs/>
        </w:rPr>
        <w:t>Resumen Ejecutivo</w:t>
      </w:r>
    </w:p>
    <w:p w14:paraId="2DE16FA1" w14:textId="77777777" w:rsidR="00D320A8" w:rsidRPr="00D320A8" w:rsidRDefault="00D320A8" w:rsidP="00D320A8">
      <w:r w:rsidRPr="00D320A8">
        <w:t>La tarjeta de crédito es un instrumento financiero que permite el consumo mediante una línea de crédito preaprobada por un emisor. A diferencia del débito, implica la adquisición de deuda que debe ser gestionada bajo un análisis riguroso de la capacidad de pago. La correcta administración de este producto requiere la comprensión del ciclo de facturación (reflejado en el Estado de Cuenta), el cumplimiento de protocolos de seguridad en el punto de venta y el conocimiento de los procedimientos contractuales para la extinción de la relación crediticia (cierre de tarjeta).</w:t>
      </w:r>
    </w:p>
    <w:p w14:paraId="3C843B92" w14:textId="77777777" w:rsidR="00D320A8" w:rsidRPr="00D320A8" w:rsidRDefault="00D320A8" w:rsidP="00D320A8">
      <w:r w:rsidRPr="00D320A8">
        <w:pict w14:anchorId="360E0A6B">
          <v:rect id="_x0000_i1060" style="width:0;height:1.5pt" o:hralign="center" o:hrstd="t" o:hr="t" fillcolor="#a0a0a0" stroked="f"/>
        </w:pict>
      </w:r>
    </w:p>
    <w:p w14:paraId="37EE1FD7" w14:textId="77777777" w:rsidR="00D320A8" w:rsidRPr="00D320A8" w:rsidRDefault="00D320A8" w:rsidP="00D320A8">
      <w:pPr>
        <w:rPr>
          <w:b/>
          <w:bCs/>
        </w:rPr>
      </w:pPr>
      <w:r w:rsidRPr="00D320A8">
        <w:rPr>
          <w:b/>
          <w:bCs/>
        </w:rPr>
        <w:t>Contexto y Propósito del Documento</w:t>
      </w:r>
    </w:p>
    <w:p w14:paraId="45483FBD" w14:textId="77777777" w:rsidR="00D320A8" w:rsidRPr="00D320A8" w:rsidRDefault="00D320A8" w:rsidP="00D320A8">
      <w:r w:rsidRPr="00D320A8">
        <w:t>El presente documento tiene como objetivo proporcionar una guía técnica sobre el funcionamiento de las tarjetas de crédito, orientada a usuarios que buscan optimizar su uso o que acceden al producto por primera vez. Se detallan los procesos operativos, la interpretación de documentos de cobro y los criterios financieros para evaluar la viabilidad de la deuda, con el fin de evitar el sobreendeudamiento y garantizar una gestión financiera saludable.</w:t>
      </w:r>
    </w:p>
    <w:p w14:paraId="7FC21E2E" w14:textId="77777777" w:rsidR="00D320A8" w:rsidRPr="00D320A8" w:rsidRDefault="00D320A8" w:rsidP="00D320A8">
      <w:r w:rsidRPr="00D320A8">
        <w:pict w14:anchorId="53B28D40">
          <v:rect id="_x0000_i1061" style="width:0;height:1.5pt" o:hralign="center" o:hrstd="t" o:hr="t" fillcolor="#a0a0a0" stroked="f"/>
        </w:pict>
      </w:r>
    </w:p>
    <w:p w14:paraId="550CD9D3" w14:textId="77777777" w:rsidR="00D320A8" w:rsidRPr="00D320A8" w:rsidRDefault="00D320A8" w:rsidP="00D320A8">
      <w:pPr>
        <w:rPr>
          <w:b/>
          <w:bCs/>
        </w:rPr>
      </w:pPr>
      <w:r w:rsidRPr="00D320A8">
        <w:rPr>
          <w:b/>
          <w:bCs/>
        </w:rPr>
        <w:t>Desarrollo del Contenido</w:t>
      </w:r>
    </w:p>
    <w:p w14:paraId="690D4B17" w14:textId="77777777" w:rsidR="00D320A8" w:rsidRPr="00D320A8" w:rsidRDefault="00D320A8" w:rsidP="00D320A8">
      <w:pPr>
        <w:rPr>
          <w:b/>
          <w:bCs/>
        </w:rPr>
      </w:pPr>
      <w:r w:rsidRPr="00D320A8">
        <w:rPr>
          <w:b/>
          <w:bCs/>
        </w:rPr>
        <w:t>Sección 1: Funcionamiento del Sistema de Tarjeta de Crédito</w:t>
      </w:r>
    </w:p>
    <w:p w14:paraId="3E06B096" w14:textId="77777777" w:rsidR="00D320A8" w:rsidRPr="00D320A8" w:rsidRDefault="00D320A8" w:rsidP="00D320A8">
      <w:r w:rsidRPr="00D320A8">
        <w:t xml:space="preserve">La tarjeta de crédito opera como un contrato de apertura de crédito donde el emisor (banco o casa comercial) pone a disposición del titular una </w:t>
      </w:r>
      <w:r w:rsidRPr="00D320A8">
        <w:rPr>
          <w:b/>
          <w:bCs/>
        </w:rPr>
        <w:t>línea de crédito</w:t>
      </w:r>
      <w:r w:rsidRPr="00D320A8">
        <w:t xml:space="preserve"> con un cupo determinado.</w:t>
      </w:r>
    </w:p>
    <w:p w14:paraId="21B12E4E" w14:textId="77777777" w:rsidR="00D320A8" w:rsidRPr="00D320A8" w:rsidRDefault="00D320A8" w:rsidP="00D320A8">
      <w:pPr>
        <w:numPr>
          <w:ilvl w:val="0"/>
          <w:numId w:val="1"/>
        </w:numPr>
      </w:pPr>
      <w:r w:rsidRPr="00D320A8">
        <w:rPr>
          <w:b/>
          <w:bCs/>
        </w:rPr>
        <w:t>Proceso de Transacción:</w:t>
      </w:r>
    </w:p>
    <w:p w14:paraId="254A2893" w14:textId="77777777" w:rsidR="00D320A8" w:rsidRPr="00D320A8" w:rsidRDefault="00D320A8" w:rsidP="00D320A8">
      <w:pPr>
        <w:numPr>
          <w:ilvl w:val="1"/>
          <w:numId w:val="1"/>
        </w:numPr>
      </w:pPr>
      <w:r w:rsidRPr="00D320A8">
        <w:rPr>
          <w:b/>
          <w:bCs/>
        </w:rPr>
        <w:t>Presentación:</w:t>
      </w:r>
      <w:r w:rsidRPr="00D320A8">
        <w:t xml:space="preserve"> El titular presenta la tarjeta y su documento de identidad (Cédula o Pasaporte).</w:t>
      </w:r>
    </w:p>
    <w:p w14:paraId="290358C2" w14:textId="77777777" w:rsidR="00D320A8" w:rsidRPr="00D320A8" w:rsidRDefault="00D320A8" w:rsidP="00D320A8">
      <w:pPr>
        <w:numPr>
          <w:ilvl w:val="1"/>
          <w:numId w:val="1"/>
        </w:numPr>
      </w:pPr>
      <w:r w:rsidRPr="00D320A8">
        <w:rPr>
          <w:b/>
          <w:bCs/>
        </w:rPr>
        <w:t>Validación:</w:t>
      </w:r>
      <w:r w:rsidRPr="00D320A8">
        <w:t xml:space="preserve"> Se utiliza un dispositivo P.O.S. (Point of Sale) para procesar el "voucher" o comprobante.</w:t>
      </w:r>
    </w:p>
    <w:p w14:paraId="0070DDA7" w14:textId="77777777" w:rsidR="00D320A8" w:rsidRPr="00D320A8" w:rsidRDefault="00D320A8" w:rsidP="00D320A8">
      <w:pPr>
        <w:numPr>
          <w:ilvl w:val="1"/>
          <w:numId w:val="1"/>
        </w:numPr>
      </w:pPr>
      <w:r w:rsidRPr="00D320A8">
        <w:rPr>
          <w:b/>
          <w:bCs/>
        </w:rPr>
        <w:t>Autorización:</w:t>
      </w:r>
      <w:r w:rsidRPr="00D320A8">
        <w:t xml:space="preserve"> El usuario valida la operación mediante firma manuscrita o ingreso de clave secreta.</w:t>
      </w:r>
    </w:p>
    <w:p w14:paraId="04F3F49D" w14:textId="77777777" w:rsidR="00D320A8" w:rsidRPr="00D320A8" w:rsidRDefault="00D320A8" w:rsidP="00D320A8">
      <w:pPr>
        <w:numPr>
          <w:ilvl w:val="1"/>
          <w:numId w:val="1"/>
        </w:numPr>
      </w:pPr>
      <w:r w:rsidRPr="00D320A8">
        <w:rPr>
          <w:b/>
          <w:bCs/>
        </w:rPr>
        <w:lastRenderedPageBreak/>
        <w:t>Ciclo de Cobro:</w:t>
      </w:r>
      <w:r w:rsidRPr="00D320A8">
        <w:t xml:space="preserve"> El establecimiento comercial presenta el voucher al </w:t>
      </w:r>
      <w:r w:rsidRPr="00D320A8">
        <w:rPr>
          <w:b/>
          <w:bCs/>
        </w:rPr>
        <w:t>Operador</w:t>
      </w:r>
      <w:r w:rsidRPr="00D320A8">
        <w:t xml:space="preserve"> (ej. Transbank), quien gestiona el cobro ante el </w:t>
      </w:r>
      <w:r w:rsidRPr="00D320A8">
        <w:rPr>
          <w:b/>
          <w:bCs/>
        </w:rPr>
        <w:t>Emisor</w:t>
      </w:r>
      <w:r w:rsidRPr="00D320A8">
        <w:t xml:space="preserve"> para que este último lo refleje en la cuenta del cliente.</w:t>
      </w:r>
    </w:p>
    <w:p w14:paraId="5A5F1AE7" w14:textId="77777777" w:rsidR="00D320A8" w:rsidRPr="00D320A8" w:rsidRDefault="00D320A8" w:rsidP="00D320A8">
      <w:pPr>
        <w:rPr>
          <w:b/>
          <w:bCs/>
        </w:rPr>
      </w:pPr>
      <w:r w:rsidRPr="00D320A8">
        <w:rPr>
          <w:b/>
          <w:bCs/>
        </w:rPr>
        <w:t>Sección 2: El Estado de Cuenta como Herramienta de Control</w:t>
      </w:r>
    </w:p>
    <w:p w14:paraId="0D9804BC" w14:textId="77777777" w:rsidR="00D320A8" w:rsidRPr="00D320A8" w:rsidRDefault="00D320A8" w:rsidP="00D320A8">
      <w:r w:rsidRPr="00D320A8">
        <w:t>Es el documento mensual que detalla la actividad financiera del periodo. Su revisión es crítica para detectar errores o cobros no autorizados.</w:t>
      </w:r>
    </w:p>
    <w:p w14:paraId="1BFA5A98" w14:textId="77777777" w:rsidR="00D320A8" w:rsidRPr="00D320A8" w:rsidRDefault="00D320A8" w:rsidP="00D320A8">
      <w:pPr>
        <w:numPr>
          <w:ilvl w:val="0"/>
          <w:numId w:val="2"/>
        </w:numPr>
      </w:pPr>
      <w:r w:rsidRPr="00D320A8">
        <w:rPr>
          <w:b/>
          <w:bCs/>
        </w:rPr>
        <w:t>Componentes de Información Financiera:</w:t>
      </w:r>
    </w:p>
    <w:p w14:paraId="6E7238D5" w14:textId="77777777" w:rsidR="00D320A8" w:rsidRPr="00D320A8" w:rsidRDefault="00D320A8" w:rsidP="00D320A8">
      <w:pPr>
        <w:numPr>
          <w:ilvl w:val="1"/>
          <w:numId w:val="2"/>
        </w:numPr>
      </w:pPr>
      <w:r w:rsidRPr="00D320A8">
        <w:rPr>
          <w:b/>
          <w:bCs/>
        </w:rPr>
        <w:t>Identificación:</w:t>
      </w:r>
      <w:r w:rsidRPr="00D320A8">
        <w:t xml:space="preserve"> Nombre del titular y número de tarjeta.</w:t>
      </w:r>
    </w:p>
    <w:p w14:paraId="2EFB2563" w14:textId="77777777" w:rsidR="00D320A8" w:rsidRPr="00D320A8" w:rsidRDefault="00D320A8" w:rsidP="00D320A8">
      <w:pPr>
        <w:numPr>
          <w:ilvl w:val="1"/>
          <w:numId w:val="2"/>
        </w:numPr>
      </w:pPr>
      <w:r w:rsidRPr="00D320A8">
        <w:rPr>
          <w:b/>
          <w:bCs/>
        </w:rPr>
        <w:t>Fechas Críticas:</w:t>
      </w:r>
      <w:r w:rsidRPr="00D320A8">
        <w:t xml:space="preserve"> Fecha de emisión del estado y </w:t>
      </w:r>
      <w:r w:rsidRPr="00D320A8">
        <w:rPr>
          <w:b/>
          <w:bCs/>
        </w:rPr>
        <w:t>fecha de vencimiento</w:t>
      </w:r>
      <w:r w:rsidRPr="00D320A8">
        <w:t xml:space="preserve"> del pago.</w:t>
      </w:r>
    </w:p>
    <w:p w14:paraId="73D610EB" w14:textId="77777777" w:rsidR="00D320A8" w:rsidRPr="00D320A8" w:rsidRDefault="00D320A8" w:rsidP="00D320A8">
      <w:pPr>
        <w:numPr>
          <w:ilvl w:val="1"/>
          <w:numId w:val="2"/>
        </w:numPr>
      </w:pPr>
      <w:r w:rsidRPr="00D320A8">
        <w:rPr>
          <w:b/>
          <w:bCs/>
        </w:rPr>
        <w:t>Costos del Crédito:</w:t>
      </w:r>
      <w:r w:rsidRPr="00D320A8">
        <w:t xml:space="preserve"> Tasa de interés aplicada, monto de intereses devengados, comisiones y otros cargos.</w:t>
      </w:r>
    </w:p>
    <w:p w14:paraId="7653EBEC" w14:textId="77777777" w:rsidR="00D320A8" w:rsidRPr="00D320A8" w:rsidRDefault="00D320A8" w:rsidP="00D320A8">
      <w:pPr>
        <w:numPr>
          <w:ilvl w:val="1"/>
          <w:numId w:val="2"/>
        </w:numPr>
      </w:pPr>
      <w:r w:rsidRPr="00D320A8">
        <w:rPr>
          <w:b/>
          <w:bCs/>
        </w:rPr>
        <w:t>Gestión de Deuda:</w:t>
      </w:r>
      <w:r w:rsidRPr="00D320A8">
        <w:t xml:space="preserve"> Saldo adeudado a la fecha, monto disponible en la línea y </w:t>
      </w:r>
      <w:r w:rsidRPr="00D320A8">
        <w:rPr>
          <w:b/>
          <w:bCs/>
        </w:rPr>
        <w:t>pago mínimo</w:t>
      </w:r>
      <w:r w:rsidRPr="00D320A8">
        <w:t xml:space="preserve"> (monto indispensable para mantener la cuenta al día).</w:t>
      </w:r>
    </w:p>
    <w:p w14:paraId="0C8EB3F3" w14:textId="77777777" w:rsidR="00D320A8" w:rsidRPr="00D320A8" w:rsidRDefault="00D320A8" w:rsidP="00D320A8">
      <w:pPr>
        <w:numPr>
          <w:ilvl w:val="1"/>
          <w:numId w:val="2"/>
        </w:numPr>
      </w:pPr>
      <w:r w:rsidRPr="00D320A8">
        <w:rPr>
          <w:b/>
          <w:bCs/>
        </w:rPr>
        <w:t>Detalle Transaccional:</w:t>
      </w:r>
      <w:r w:rsidRPr="00D320A8">
        <w:t xml:space="preserve"> Registro pormenorizado de compras, avances en efectivo y pagos realizados, incluyendo fechas y nombres de establecimientos.</w:t>
      </w:r>
    </w:p>
    <w:p w14:paraId="599A2474" w14:textId="77777777" w:rsidR="00D320A8" w:rsidRPr="00D320A8" w:rsidRDefault="00D320A8" w:rsidP="00D320A8">
      <w:pPr>
        <w:rPr>
          <w:b/>
          <w:bCs/>
        </w:rPr>
      </w:pPr>
      <w:r w:rsidRPr="00D320A8">
        <w:rPr>
          <w:b/>
          <w:bCs/>
        </w:rPr>
        <w:t>Sección 3: Capacidad de Pago y Protocolo de Cierre</w:t>
      </w:r>
    </w:p>
    <w:p w14:paraId="0975524E" w14:textId="77777777" w:rsidR="00D320A8" w:rsidRPr="00D320A8" w:rsidRDefault="00D320A8" w:rsidP="00D320A8">
      <w:r w:rsidRPr="00D320A8">
        <w:t>La contratación de un crédito de consumo o el uso de la tarjeta debe estar supeditada a un análisis de solvencia.</w:t>
      </w:r>
    </w:p>
    <w:p w14:paraId="74E33DD8" w14:textId="77777777" w:rsidR="00D320A8" w:rsidRPr="00D320A8" w:rsidRDefault="00D320A8" w:rsidP="00D320A8">
      <w:pPr>
        <w:numPr>
          <w:ilvl w:val="0"/>
          <w:numId w:val="3"/>
        </w:numPr>
      </w:pPr>
      <w:r w:rsidRPr="00D320A8">
        <w:rPr>
          <w:b/>
          <w:bCs/>
        </w:rPr>
        <w:t>Evaluación de Capacidad de Pago:</w:t>
      </w:r>
    </w:p>
    <w:p w14:paraId="4CC87A8F" w14:textId="77777777" w:rsidR="00D320A8" w:rsidRPr="00D320A8" w:rsidRDefault="00D320A8" w:rsidP="00D320A8">
      <w:r w:rsidRPr="00D320A8">
        <w:t>$$\text{Capacidad de Pago} = \text{Ingresos Totales} - (\text{Gastos Fijos} + \text{Compromisos Previos})$$</w:t>
      </w:r>
    </w:p>
    <w:p w14:paraId="421299CA" w14:textId="77777777" w:rsidR="00D320A8" w:rsidRPr="00D320A8" w:rsidRDefault="00D320A8" w:rsidP="00D320A8">
      <w:pPr>
        <w:numPr>
          <w:ilvl w:val="1"/>
          <w:numId w:val="3"/>
        </w:numPr>
      </w:pPr>
      <w:r w:rsidRPr="00D320A8">
        <w:rPr>
          <w:i/>
          <w:iCs/>
        </w:rPr>
        <w:t>Ingresos:</w:t>
      </w:r>
      <w:r w:rsidRPr="00D320A8">
        <w:t xml:space="preserve"> Sueldos, rentas, pensiones.</w:t>
      </w:r>
    </w:p>
    <w:p w14:paraId="5EA2AC0E" w14:textId="77777777" w:rsidR="00D320A8" w:rsidRPr="00D320A8" w:rsidRDefault="00D320A8" w:rsidP="00D320A8">
      <w:pPr>
        <w:numPr>
          <w:ilvl w:val="1"/>
          <w:numId w:val="3"/>
        </w:numPr>
      </w:pPr>
      <w:r w:rsidRPr="00D320A8">
        <w:rPr>
          <w:i/>
          <w:iCs/>
        </w:rPr>
        <w:t>Gastos:</w:t>
      </w:r>
      <w:r w:rsidRPr="00D320A8">
        <w:t xml:space="preserve"> Arriendos, dividendos, servicios básicos, educación, alimentación y cuotas de deudas vigentes.</w:t>
      </w:r>
    </w:p>
    <w:p w14:paraId="21AF6E7A" w14:textId="77777777" w:rsidR="00D320A8" w:rsidRPr="00D320A8" w:rsidRDefault="00D320A8" w:rsidP="00D320A8">
      <w:pPr>
        <w:numPr>
          <w:ilvl w:val="1"/>
          <w:numId w:val="3"/>
        </w:numPr>
      </w:pPr>
      <w:r w:rsidRPr="00D320A8">
        <w:rPr>
          <w:i/>
          <w:iCs/>
        </w:rPr>
        <w:t>Nota:</w:t>
      </w:r>
      <w:r w:rsidRPr="00D320A8">
        <w:t xml:space="preserve"> Se recomienda mantener un margen para gastos imprevistos.</w:t>
      </w:r>
    </w:p>
    <w:p w14:paraId="622E0C8B" w14:textId="77777777" w:rsidR="00D320A8" w:rsidRPr="00D320A8" w:rsidRDefault="00D320A8" w:rsidP="00D320A8">
      <w:pPr>
        <w:numPr>
          <w:ilvl w:val="0"/>
          <w:numId w:val="3"/>
        </w:numPr>
      </w:pPr>
      <w:r w:rsidRPr="00D320A8">
        <w:rPr>
          <w:b/>
          <w:bCs/>
        </w:rPr>
        <w:t>Procedimiento de Cierre del Producto:</w:t>
      </w:r>
    </w:p>
    <w:p w14:paraId="1BA4229D" w14:textId="77777777" w:rsidR="00D320A8" w:rsidRPr="00D320A8" w:rsidRDefault="00D320A8" w:rsidP="00D320A8">
      <w:pPr>
        <w:numPr>
          <w:ilvl w:val="1"/>
          <w:numId w:val="4"/>
        </w:numPr>
      </w:pPr>
      <w:r w:rsidRPr="00D320A8">
        <w:rPr>
          <w:b/>
          <w:bCs/>
        </w:rPr>
        <w:lastRenderedPageBreak/>
        <w:t>Aviso Formal:</w:t>
      </w:r>
      <w:r w:rsidRPr="00D320A8">
        <w:t xml:space="preserve"> Notificación por escrito a la entidad financiera, asegurando el timbraje de una copia de respaldo.</w:t>
      </w:r>
    </w:p>
    <w:p w14:paraId="02D0AD04" w14:textId="77777777" w:rsidR="00D320A8" w:rsidRPr="00D320A8" w:rsidRDefault="00D320A8" w:rsidP="00D320A8">
      <w:pPr>
        <w:numPr>
          <w:ilvl w:val="1"/>
          <w:numId w:val="4"/>
        </w:numPr>
      </w:pPr>
      <w:r w:rsidRPr="00D320A8">
        <w:rPr>
          <w:b/>
          <w:bCs/>
        </w:rPr>
        <w:t>Inhabilitación Física:</w:t>
      </w:r>
      <w:r w:rsidRPr="00D320A8">
        <w:t xml:space="preserve"> Entrega y destrucción de los plásticos en presencia del titular.</w:t>
      </w:r>
    </w:p>
    <w:p w14:paraId="1A8A2CFA" w14:textId="77777777" w:rsidR="00D320A8" w:rsidRPr="00D320A8" w:rsidRDefault="00D320A8" w:rsidP="00D320A8">
      <w:pPr>
        <w:numPr>
          <w:ilvl w:val="1"/>
          <w:numId w:val="4"/>
        </w:numPr>
      </w:pPr>
      <w:r w:rsidRPr="00D320A8">
        <w:rPr>
          <w:b/>
          <w:bCs/>
        </w:rPr>
        <w:t>Liquidación de Pendientes:</w:t>
      </w:r>
      <w:r w:rsidRPr="00D320A8">
        <w:t xml:space="preserve"> Verificación en la cartola de que no existan transacciones o cargos en tránsito.</w:t>
      </w:r>
    </w:p>
    <w:p w14:paraId="011ED083" w14:textId="47F0C0FD" w:rsidR="00804BD9" w:rsidRDefault="00D320A8" w:rsidP="00804BD9">
      <w:pPr>
        <w:numPr>
          <w:ilvl w:val="1"/>
          <w:numId w:val="4"/>
        </w:numPr>
      </w:pPr>
      <w:r w:rsidRPr="00D320A8">
        <w:rPr>
          <w:b/>
          <w:bCs/>
        </w:rPr>
        <w:t>Cancelación de Servicios:</w:t>
      </w:r>
      <w:r w:rsidRPr="00D320A8">
        <w:t xml:space="preserve"> Notificar con antelación a comercios que tengan Pagos Automáticos (PAT) asociados a la tarjeta.</w:t>
      </w:r>
    </w:p>
    <w:p w14:paraId="127AF840" w14:textId="77777777" w:rsidR="00804BD9" w:rsidRPr="00804BD9" w:rsidRDefault="00804BD9" w:rsidP="00804BD9">
      <w:pPr>
        <w:rPr>
          <w:b/>
          <w:bCs/>
        </w:rPr>
      </w:pPr>
      <w:r w:rsidRPr="00804BD9">
        <w:rPr>
          <w:b/>
          <w:bCs/>
        </w:rPr>
        <w:t>Precauciones Específicas en el Uso de Tarjetas de Crédito</w:t>
      </w:r>
    </w:p>
    <w:p w14:paraId="129266C6" w14:textId="77777777" w:rsidR="00804BD9" w:rsidRPr="00804BD9" w:rsidRDefault="00804BD9" w:rsidP="00804BD9">
      <w:r w:rsidRPr="00804BD9">
        <w:t>Para mitigar riesgos operativos y fraudes, la CMF establece las siguientes medidas de seguridad obligatorias y recomendadas:</w:t>
      </w:r>
    </w:p>
    <w:p w14:paraId="157D8443" w14:textId="77777777" w:rsidR="00804BD9" w:rsidRPr="00804BD9" w:rsidRDefault="00804BD9" w:rsidP="00804BD9">
      <w:pPr>
        <w:numPr>
          <w:ilvl w:val="0"/>
          <w:numId w:val="8"/>
        </w:numPr>
      </w:pPr>
      <w:r w:rsidRPr="00804BD9">
        <w:rPr>
          <w:b/>
          <w:bCs/>
        </w:rPr>
        <w:t>Seguridad en Transacciones Digitales:</w:t>
      </w:r>
    </w:p>
    <w:p w14:paraId="0B47B903" w14:textId="77777777" w:rsidR="00804BD9" w:rsidRPr="00804BD9" w:rsidRDefault="00804BD9" w:rsidP="00804BD9">
      <w:pPr>
        <w:numPr>
          <w:ilvl w:val="1"/>
          <w:numId w:val="8"/>
        </w:numPr>
      </w:pPr>
      <w:r w:rsidRPr="00804BD9">
        <w:t xml:space="preserve">Realizar compras únicamente en sitios web que cuenten con protocolo de seguridad </w:t>
      </w:r>
      <w:r w:rsidRPr="00804BD9">
        <w:rPr>
          <w:b/>
          <w:bCs/>
        </w:rPr>
        <w:t>HTTPS</w:t>
      </w:r>
      <w:r w:rsidRPr="00804BD9">
        <w:t xml:space="preserve"> (identificable por el ícono del candado en la barra de direcciones).</w:t>
      </w:r>
    </w:p>
    <w:p w14:paraId="5991642E" w14:textId="77777777" w:rsidR="00804BD9" w:rsidRPr="00804BD9" w:rsidRDefault="00804BD9" w:rsidP="00804BD9">
      <w:pPr>
        <w:numPr>
          <w:ilvl w:val="1"/>
          <w:numId w:val="8"/>
        </w:numPr>
      </w:pPr>
      <w:r w:rsidRPr="00804BD9">
        <w:t>Evitar transacciones financieras utilizando redes Wi-Fi públicas o computadores de acceso compartido.</w:t>
      </w:r>
    </w:p>
    <w:p w14:paraId="39BD2C7A" w14:textId="77777777" w:rsidR="00804BD9" w:rsidRPr="00804BD9" w:rsidRDefault="00804BD9" w:rsidP="00804BD9">
      <w:pPr>
        <w:numPr>
          <w:ilvl w:val="1"/>
          <w:numId w:val="8"/>
        </w:numPr>
      </w:pPr>
      <w:r w:rsidRPr="00804BD9">
        <w:t>No almacenar las claves de acceso ni los datos de la tarjeta en el navegador o aplicaciones de terceros.</w:t>
      </w:r>
    </w:p>
    <w:p w14:paraId="29601026" w14:textId="77777777" w:rsidR="00804BD9" w:rsidRPr="00804BD9" w:rsidRDefault="00804BD9" w:rsidP="00804BD9">
      <w:pPr>
        <w:numPr>
          <w:ilvl w:val="0"/>
          <w:numId w:val="8"/>
        </w:numPr>
      </w:pPr>
      <w:r w:rsidRPr="00804BD9">
        <w:rPr>
          <w:b/>
          <w:bCs/>
        </w:rPr>
        <w:t>Prevención de Clonación y Fraude Físico:</w:t>
      </w:r>
    </w:p>
    <w:p w14:paraId="655854C0" w14:textId="77777777" w:rsidR="00804BD9" w:rsidRPr="00804BD9" w:rsidRDefault="00804BD9" w:rsidP="00804BD9">
      <w:pPr>
        <w:numPr>
          <w:ilvl w:val="1"/>
          <w:numId w:val="8"/>
        </w:numPr>
      </w:pPr>
      <w:r w:rsidRPr="00804BD9">
        <w:t>Nunca perder de vista la tarjeta al realizar un pago en comercios; exigir que el dispositivo P.O.S. sea operado frente al titular.</w:t>
      </w:r>
    </w:p>
    <w:p w14:paraId="08B82684" w14:textId="77777777" w:rsidR="00804BD9" w:rsidRPr="00804BD9" w:rsidRDefault="00804BD9" w:rsidP="00804BD9">
      <w:pPr>
        <w:numPr>
          <w:ilvl w:val="1"/>
          <w:numId w:val="8"/>
        </w:numPr>
      </w:pPr>
      <w:r w:rsidRPr="00804BD9">
        <w:t xml:space="preserve">Revisar que la ranura del cajero automático o del terminal de pago no tenga elementos extraños o sobrepuestos (dispositivos de </w:t>
      </w:r>
      <w:r w:rsidRPr="00804BD9">
        <w:rPr>
          <w:i/>
          <w:iCs/>
        </w:rPr>
        <w:t>skimming</w:t>
      </w:r>
      <w:r w:rsidRPr="00804BD9">
        <w:t>).</w:t>
      </w:r>
    </w:p>
    <w:p w14:paraId="1BAA447C" w14:textId="77777777" w:rsidR="00804BD9" w:rsidRPr="00804BD9" w:rsidRDefault="00804BD9" w:rsidP="00804BD9">
      <w:pPr>
        <w:numPr>
          <w:ilvl w:val="1"/>
          <w:numId w:val="8"/>
        </w:numPr>
      </w:pPr>
      <w:r w:rsidRPr="00804BD9">
        <w:t>Al ingresar la clave, cubrir siempre el teclado con la mano, independientemente de la presencia de cámaras de seguridad.</w:t>
      </w:r>
    </w:p>
    <w:p w14:paraId="6E121B2A" w14:textId="77777777" w:rsidR="00804BD9" w:rsidRPr="00804BD9" w:rsidRDefault="00804BD9" w:rsidP="00804BD9">
      <w:pPr>
        <w:numPr>
          <w:ilvl w:val="0"/>
          <w:numId w:val="8"/>
        </w:numPr>
      </w:pPr>
      <w:r w:rsidRPr="00804BD9">
        <w:rPr>
          <w:b/>
          <w:bCs/>
        </w:rPr>
        <w:t>Gestión de Claves:</w:t>
      </w:r>
    </w:p>
    <w:p w14:paraId="47A91D75" w14:textId="77777777" w:rsidR="00804BD9" w:rsidRPr="00804BD9" w:rsidRDefault="00804BD9" w:rsidP="00804BD9">
      <w:pPr>
        <w:numPr>
          <w:ilvl w:val="1"/>
          <w:numId w:val="8"/>
        </w:numPr>
      </w:pPr>
      <w:r w:rsidRPr="00804BD9">
        <w:t>Cambiar periódicamente la clave secreta y evitar combinaciones obvias (fechas de nacimiento, secuencias numéricas simples o dígitos repetidos).</w:t>
      </w:r>
    </w:p>
    <w:p w14:paraId="1AB2F6E1" w14:textId="77777777" w:rsidR="00BF459D" w:rsidRPr="00BF459D" w:rsidRDefault="00BF459D" w:rsidP="00BF459D">
      <w:pPr>
        <w:rPr>
          <w:b/>
          <w:bCs/>
        </w:rPr>
      </w:pPr>
      <w:r w:rsidRPr="00BF459D">
        <w:rPr>
          <w:b/>
          <w:bCs/>
        </w:rPr>
        <w:lastRenderedPageBreak/>
        <w:t>Clasificación y Aplicación de Tipos de Interés</w:t>
      </w:r>
    </w:p>
    <w:p w14:paraId="5EB5DC78" w14:textId="77777777" w:rsidR="00BF459D" w:rsidRPr="00BF459D" w:rsidRDefault="00BF459D" w:rsidP="00BF459D">
      <w:r w:rsidRPr="00BF459D">
        <w:t>En el uso de la tarjeta de crédito, se devengan distintos tipos de intereses según el comportamiento de pago y el tipo de transacción:</w:t>
      </w:r>
    </w:p>
    <w:p w14:paraId="01D7D36B" w14:textId="77777777" w:rsidR="00BF459D" w:rsidRPr="00BF459D" w:rsidRDefault="00BF459D" w:rsidP="00BF459D">
      <w:pPr>
        <w:numPr>
          <w:ilvl w:val="0"/>
          <w:numId w:val="9"/>
        </w:numPr>
      </w:pPr>
      <w:r w:rsidRPr="00BF459D">
        <w:rPr>
          <w:b/>
          <w:bCs/>
        </w:rPr>
        <w:t>Interés Rotativo (o de Financiamiento):</w:t>
      </w:r>
      <w:r w:rsidRPr="00BF459D">
        <w:t xml:space="preserve"> Se aplica sobre el saldo que no fue cancelado después de la fecha de vencimiento. Si el titular realiza el "pago mínimo" o una cifra inferior al "pago total", el remanente genera este interés de forma diaria hasta su liquidación total.</w:t>
      </w:r>
    </w:p>
    <w:p w14:paraId="4FD671F5" w14:textId="77777777" w:rsidR="00BF459D" w:rsidRPr="00BF459D" w:rsidRDefault="00BF459D" w:rsidP="00BF459D">
      <w:pPr>
        <w:numPr>
          <w:ilvl w:val="0"/>
          <w:numId w:val="9"/>
        </w:numPr>
      </w:pPr>
      <w:r w:rsidRPr="00BF459D">
        <w:rPr>
          <w:b/>
          <w:bCs/>
        </w:rPr>
        <w:t>Interés por Mora (Penalización):</w:t>
      </w:r>
      <w:r w:rsidRPr="00BF459D">
        <w:t xml:space="preserve"> Se aplica únicamente cuando el titular no cumple con el pago mínimo en la fecha de vencimiento establecida. Es un interés adicional que se suma a los cargos por cobranza.</w:t>
      </w:r>
    </w:p>
    <w:p w14:paraId="003C03F3" w14:textId="38389E08" w:rsidR="00804BD9" w:rsidRDefault="00BF459D" w:rsidP="00804BD9">
      <w:pPr>
        <w:numPr>
          <w:ilvl w:val="0"/>
          <w:numId w:val="9"/>
        </w:numPr>
      </w:pPr>
      <w:r w:rsidRPr="00BF459D">
        <w:rPr>
          <w:b/>
          <w:bCs/>
        </w:rPr>
        <w:t>Interés por Avances en Efectivo:</w:t>
      </w:r>
      <w:r w:rsidRPr="00BF459D">
        <w:t xml:space="preserve"> Se genera al retirar dinero en efectivo desde cajeros automáticos o cajas con cargo a la tarjeta. A diferencia de las compras, este interés suele ser más elevado y se devenga desde el mismo momento en que se dispone del dinero, sin periodo de gracia.</w:t>
      </w:r>
    </w:p>
    <w:p w14:paraId="2ACCA8E2" w14:textId="77777777" w:rsidR="00BF459D" w:rsidRPr="00BF459D" w:rsidRDefault="00BF459D" w:rsidP="00BF459D">
      <w:pPr>
        <w:rPr>
          <w:b/>
          <w:bCs/>
        </w:rPr>
      </w:pPr>
      <w:r w:rsidRPr="00BF459D">
        <w:rPr>
          <w:b/>
          <w:bCs/>
        </w:rPr>
        <w:t>Derechos del Usuario y Regulación Específica (Capítulo 8-41)</w:t>
      </w:r>
    </w:p>
    <w:p w14:paraId="0877BF0C" w14:textId="77777777" w:rsidR="00BF459D" w:rsidRPr="00BF459D" w:rsidRDefault="00BF459D" w:rsidP="00BF459D">
      <w:r w:rsidRPr="00BF459D">
        <w:t>La normativa de la CMF y la Ley de Fraudes (Ley N° 21.234) otorgan protecciones específicas frente a la institución financiera:</w:t>
      </w:r>
    </w:p>
    <w:p w14:paraId="74E8D3C6" w14:textId="77777777" w:rsidR="00BF459D" w:rsidRPr="00BF459D" w:rsidRDefault="00BF459D" w:rsidP="00BF459D">
      <w:pPr>
        <w:numPr>
          <w:ilvl w:val="0"/>
          <w:numId w:val="10"/>
        </w:numPr>
      </w:pPr>
      <w:r w:rsidRPr="00BF459D">
        <w:rPr>
          <w:b/>
          <w:bCs/>
        </w:rPr>
        <w:t>Prohibición de Cambios Unilaterales:</w:t>
      </w:r>
      <w:r w:rsidRPr="00BF459D">
        <w:t xml:space="preserve"> Las instituciones financieras no pueden modificar las comisiones, tasas de interés o condiciones económicas del contrato de manera unilateral. Cualquier cambio requiere el </w:t>
      </w:r>
      <w:r w:rsidRPr="00BF459D">
        <w:rPr>
          <w:b/>
          <w:bCs/>
        </w:rPr>
        <w:t>consentimiento explícito</w:t>
      </w:r>
      <w:r w:rsidRPr="00BF459D">
        <w:t xml:space="preserve"> y la firma del titular para ser aplicado.</w:t>
      </w:r>
    </w:p>
    <w:p w14:paraId="23113769" w14:textId="77777777" w:rsidR="00BF459D" w:rsidRPr="00BF459D" w:rsidRDefault="00BF459D" w:rsidP="00BF459D">
      <w:pPr>
        <w:numPr>
          <w:ilvl w:val="0"/>
          <w:numId w:val="10"/>
        </w:numPr>
      </w:pPr>
      <w:r w:rsidRPr="00BF459D">
        <w:rPr>
          <w:b/>
          <w:bCs/>
        </w:rPr>
        <w:t>Derecho a Término de Contrato:</w:t>
      </w:r>
      <w:r w:rsidRPr="00BF459D">
        <w:t xml:space="preserve"> El titular tiene derecho a cerrar su tarjeta de crédito en cualquier momento, sin que la institución pueda imponer trabas burocráticas excesivas, siempre que se cumpla con el protocolo de aviso y devolución del plástico.</w:t>
      </w:r>
    </w:p>
    <w:p w14:paraId="668780F2" w14:textId="77777777" w:rsidR="00BF459D" w:rsidRPr="00BF459D" w:rsidRDefault="00BF459D" w:rsidP="00BF459D">
      <w:pPr>
        <w:numPr>
          <w:ilvl w:val="0"/>
          <w:numId w:val="10"/>
        </w:numPr>
      </w:pPr>
      <w:r w:rsidRPr="00BF459D">
        <w:rPr>
          <w:b/>
          <w:bCs/>
        </w:rPr>
        <w:t>Responsabilidad Limitada ante Fraudes:</w:t>
      </w:r>
      <w:r w:rsidRPr="00BF459D">
        <w:t xml:space="preserve"> En caso de extravío, hurto, robo o fraude, una vez realizado el aviso al emisor, el titular queda exento de toda responsabilidad por compras posteriores. Para operaciones desconocidas previas al aviso, el banco tiene la obligación de restituir los fondos según los plazos legales (generalmente 5 días hábiles para montos bajo las 35 UF).</w:t>
      </w:r>
    </w:p>
    <w:p w14:paraId="5AA51B2F" w14:textId="24B9BA98" w:rsidR="00BF459D" w:rsidRPr="00D320A8" w:rsidRDefault="00BF459D" w:rsidP="00804BD9">
      <w:pPr>
        <w:numPr>
          <w:ilvl w:val="0"/>
          <w:numId w:val="10"/>
        </w:numPr>
      </w:pPr>
      <w:r w:rsidRPr="00BF459D">
        <w:rPr>
          <w:b/>
          <w:bCs/>
        </w:rPr>
        <w:t>Derecho a la Información:</w:t>
      </w:r>
      <w:r w:rsidRPr="00BF459D">
        <w:t xml:space="preserve"> El Estado de Cuenta debe ser entregado con al menos </w:t>
      </w:r>
      <w:r w:rsidRPr="00BF459D">
        <w:rPr>
          <w:b/>
          <w:bCs/>
        </w:rPr>
        <w:t>22 días de anticipación</w:t>
      </w:r>
      <w:r w:rsidRPr="00BF459D">
        <w:t xml:space="preserve"> a la fecha de vencimiento para permitir al titular revisar los cargos y gestionar el pago.</w:t>
      </w:r>
    </w:p>
    <w:p w14:paraId="1ABA0378" w14:textId="77777777" w:rsidR="00D320A8" w:rsidRPr="00D320A8" w:rsidRDefault="00D320A8" w:rsidP="00D320A8">
      <w:r w:rsidRPr="00D320A8">
        <w:lastRenderedPageBreak/>
        <w:pict w14:anchorId="061E4550">
          <v:rect id="_x0000_i1063" style="width:0;height:1.5pt" o:hralign="center" o:hrstd="t" o:hr="t" fillcolor="#a0a0a0" stroked="f"/>
        </w:pict>
      </w:r>
    </w:p>
    <w:p w14:paraId="6D23D49A" w14:textId="77777777" w:rsidR="00D320A8" w:rsidRPr="00D320A8" w:rsidRDefault="00D320A8" w:rsidP="00D320A8">
      <w:pPr>
        <w:rPr>
          <w:b/>
          <w:bCs/>
        </w:rPr>
      </w:pPr>
      <w:r w:rsidRPr="00D320A8">
        <w:rPr>
          <w:b/>
          <w:bCs/>
        </w:rPr>
        <w:t>Conceptos Financieros Clave</w:t>
      </w:r>
    </w:p>
    <w:p w14:paraId="12A01920" w14:textId="77777777" w:rsidR="00D320A8" w:rsidRPr="00D320A8" w:rsidRDefault="00D320A8" w:rsidP="00D320A8">
      <w:pPr>
        <w:numPr>
          <w:ilvl w:val="0"/>
          <w:numId w:val="5"/>
        </w:numPr>
      </w:pPr>
      <w:r w:rsidRPr="00D320A8">
        <w:rPr>
          <w:b/>
          <w:bCs/>
        </w:rPr>
        <w:t>Emisor:</w:t>
      </w:r>
      <w:r w:rsidRPr="00D320A8">
        <w:t xml:space="preserve"> Institución (banco o retail) que otorga el crédito y emite el plástico.</w:t>
      </w:r>
    </w:p>
    <w:p w14:paraId="22F099CC" w14:textId="77777777" w:rsidR="00D320A8" w:rsidRPr="00D320A8" w:rsidRDefault="00D320A8" w:rsidP="00D320A8">
      <w:pPr>
        <w:numPr>
          <w:ilvl w:val="0"/>
          <w:numId w:val="5"/>
        </w:numPr>
      </w:pPr>
      <w:r w:rsidRPr="00D320A8">
        <w:rPr>
          <w:b/>
          <w:bCs/>
        </w:rPr>
        <w:t>Línea de Crédito:</w:t>
      </w:r>
      <w:r w:rsidRPr="00D320A8">
        <w:t xml:space="preserve"> Monto máximo de dinero que el emisor permite gastar al titular.</w:t>
      </w:r>
    </w:p>
    <w:p w14:paraId="0348F14B" w14:textId="77777777" w:rsidR="00D320A8" w:rsidRPr="00D320A8" w:rsidRDefault="00D320A8" w:rsidP="00D320A8">
      <w:pPr>
        <w:numPr>
          <w:ilvl w:val="0"/>
          <w:numId w:val="5"/>
        </w:numPr>
      </w:pPr>
      <w:r w:rsidRPr="00D320A8">
        <w:rPr>
          <w:b/>
          <w:bCs/>
        </w:rPr>
        <w:t>Operador:</w:t>
      </w:r>
      <w:r w:rsidRPr="00D320A8">
        <w:t xml:space="preserve"> Entidad que conecta al comercio con el emisor para procesar los pagos.</w:t>
      </w:r>
    </w:p>
    <w:p w14:paraId="205D76FB" w14:textId="77777777" w:rsidR="00D320A8" w:rsidRPr="00D320A8" w:rsidRDefault="00D320A8" w:rsidP="00D320A8">
      <w:pPr>
        <w:numPr>
          <w:ilvl w:val="0"/>
          <w:numId w:val="5"/>
        </w:numPr>
      </w:pPr>
      <w:r w:rsidRPr="00D320A8">
        <w:rPr>
          <w:b/>
          <w:bCs/>
        </w:rPr>
        <w:t>Pago Mínimo:</w:t>
      </w:r>
      <w:r w:rsidRPr="00D320A8">
        <w:t xml:space="preserve"> Cantidad mínima requerida por el emisor para evitar la mora, aunque su uso prolongado genera mayores intereses sobre el saldo remanente.</w:t>
      </w:r>
    </w:p>
    <w:p w14:paraId="3CAA3F85" w14:textId="77777777" w:rsidR="00D320A8" w:rsidRPr="00D320A8" w:rsidRDefault="00D320A8" w:rsidP="00D320A8">
      <w:pPr>
        <w:numPr>
          <w:ilvl w:val="0"/>
          <w:numId w:val="5"/>
        </w:numPr>
      </w:pPr>
      <w:r w:rsidRPr="00D320A8">
        <w:rPr>
          <w:b/>
          <w:bCs/>
        </w:rPr>
        <w:t>Voucher:</w:t>
      </w:r>
      <w:r w:rsidRPr="00D320A8">
        <w:t xml:space="preserve"> Comprobante de la transacción que sirve como respaldo legal para reclamos.</w:t>
      </w:r>
    </w:p>
    <w:p w14:paraId="6A53B4F8" w14:textId="77777777" w:rsidR="00D320A8" w:rsidRPr="00D320A8" w:rsidRDefault="00D320A8" w:rsidP="00D320A8">
      <w:r w:rsidRPr="00D320A8">
        <w:pict w14:anchorId="5255BA45">
          <v:rect id="_x0000_i1064" style="width:0;height:1.5pt" o:hralign="center" o:hrstd="t" o:hr="t" fillcolor="#a0a0a0" stroked="f"/>
        </w:pict>
      </w:r>
    </w:p>
    <w:p w14:paraId="28527E43" w14:textId="77777777" w:rsidR="00D320A8" w:rsidRPr="00D320A8" w:rsidRDefault="00D320A8" w:rsidP="00D320A8">
      <w:pPr>
        <w:rPr>
          <w:b/>
          <w:bCs/>
        </w:rPr>
      </w:pPr>
      <w:r w:rsidRPr="00D320A8">
        <w:rPr>
          <w:b/>
          <w:bCs/>
        </w:rPr>
        <w:t>Conclusiones / Ideas Principales</w:t>
      </w:r>
    </w:p>
    <w:p w14:paraId="7FC2A6F4" w14:textId="77777777" w:rsidR="00D320A8" w:rsidRPr="00D320A8" w:rsidRDefault="00D320A8" w:rsidP="00D320A8">
      <w:pPr>
        <w:numPr>
          <w:ilvl w:val="0"/>
          <w:numId w:val="6"/>
        </w:numPr>
      </w:pPr>
      <w:r w:rsidRPr="00D320A8">
        <w:t xml:space="preserve">La tarjeta de crédito no es un ingreso adicional, sino una </w:t>
      </w:r>
      <w:r w:rsidRPr="00D320A8">
        <w:rPr>
          <w:b/>
          <w:bCs/>
        </w:rPr>
        <w:t>deuda preaprobada</w:t>
      </w:r>
      <w:r w:rsidRPr="00D320A8">
        <w:t>.</w:t>
      </w:r>
    </w:p>
    <w:p w14:paraId="698BDDF1" w14:textId="77777777" w:rsidR="00D320A8" w:rsidRPr="00D320A8" w:rsidRDefault="00D320A8" w:rsidP="00D320A8">
      <w:pPr>
        <w:numPr>
          <w:ilvl w:val="0"/>
          <w:numId w:val="6"/>
        </w:numPr>
      </w:pPr>
      <w:r w:rsidRPr="00D320A8">
        <w:t xml:space="preserve">El </w:t>
      </w:r>
      <w:r w:rsidRPr="00D320A8">
        <w:rPr>
          <w:b/>
          <w:bCs/>
        </w:rPr>
        <w:t>Estado de Cuenta</w:t>
      </w:r>
      <w:r w:rsidRPr="00D320A8">
        <w:t xml:space="preserve"> es el instrumento legal para la conciliación de gastos y defensa del consumidor.</w:t>
      </w:r>
    </w:p>
    <w:p w14:paraId="35CE57C5" w14:textId="77777777" w:rsidR="00D320A8" w:rsidRPr="00D320A8" w:rsidRDefault="00D320A8" w:rsidP="00D320A8">
      <w:pPr>
        <w:numPr>
          <w:ilvl w:val="0"/>
          <w:numId w:val="6"/>
        </w:numPr>
      </w:pPr>
      <w:r w:rsidRPr="00D320A8">
        <w:t xml:space="preserve">El cierre de una tarjeta es un acto contractual que requiere </w:t>
      </w:r>
      <w:r w:rsidRPr="00D320A8">
        <w:rPr>
          <w:b/>
          <w:bCs/>
        </w:rPr>
        <w:t>respaldo por escrito</w:t>
      </w:r>
      <w:r w:rsidRPr="00D320A8">
        <w:t xml:space="preserve"> para evitar cobros futuros indebidos.</w:t>
      </w:r>
    </w:p>
    <w:p w14:paraId="4809E5A6" w14:textId="77777777" w:rsidR="00D320A8" w:rsidRPr="00D320A8" w:rsidRDefault="00D320A8" w:rsidP="00D320A8">
      <w:r w:rsidRPr="00D320A8">
        <w:pict w14:anchorId="3DD7C95A">
          <v:rect id="_x0000_i1065" style="width:0;height:1.5pt" o:hralign="center" o:hrstd="t" o:hr="t" fillcolor="#a0a0a0" stroked="f"/>
        </w:pict>
      </w:r>
    </w:p>
    <w:p w14:paraId="3EBBFD47" w14:textId="77777777" w:rsidR="00D320A8" w:rsidRPr="00D320A8" w:rsidRDefault="00D320A8" w:rsidP="00D320A8">
      <w:pPr>
        <w:rPr>
          <w:b/>
          <w:bCs/>
        </w:rPr>
      </w:pPr>
      <w:r w:rsidRPr="00D320A8">
        <w:rPr>
          <w:b/>
          <w:bCs/>
        </w:rPr>
        <w:t>Supuestos, Riesgos o Consideraciones Relevantes</w:t>
      </w:r>
    </w:p>
    <w:p w14:paraId="4CF05CD1" w14:textId="77777777" w:rsidR="00D320A8" w:rsidRPr="00D320A8" w:rsidRDefault="00D320A8" w:rsidP="00D320A8">
      <w:pPr>
        <w:numPr>
          <w:ilvl w:val="0"/>
          <w:numId w:val="7"/>
        </w:numPr>
      </w:pPr>
      <w:r w:rsidRPr="00D320A8">
        <w:rPr>
          <w:b/>
          <w:bCs/>
        </w:rPr>
        <w:t>Riesgo de Costo:</w:t>
      </w:r>
      <w:r w:rsidRPr="00D320A8">
        <w:t xml:space="preserve"> Se asume que el usuario es consciente de que los avances de dinero y el no pago del saldo total generan intereses y comisiones que encarecen el producto.</w:t>
      </w:r>
    </w:p>
    <w:p w14:paraId="3C259777" w14:textId="77777777" w:rsidR="00D320A8" w:rsidRPr="00D320A8" w:rsidRDefault="00D320A8" w:rsidP="00D320A8">
      <w:pPr>
        <w:numPr>
          <w:ilvl w:val="0"/>
          <w:numId w:val="7"/>
        </w:numPr>
      </w:pPr>
      <w:r w:rsidRPr="00D320A8">
        <w:rPr>
          <w:b/>
          <w:bCs/>
        </w:rPr>
        <w:t>Supuesto de Acceso:</w:t>
      </w:r>
      <w:r w:rsidRPr="00D320A8">
        <w:t xml:space="preserve"> El documento indica que es posible acceder a tarjetas sin ingresos demostrables, lo que incrementa el riesgo de insolvencia si no existe un control riguroso.</w:t>
      </w:r>
    </w:p>
    <w:p w14:paraId="09308C65" w14:textId="77777777" w:rsidR="00D320A8" w:rsidRPr="00D320A8" w:rsidRDefault="00D320A8" w:rsidP="00D320A8">
      <w:pPr>
        <w:numPr>
          <w:ilvl w:val="0"/>
          <w:numId w:val="7"/>
        </w:numPr>
      </w:pPr>
      <w:r w:rsidRPr="00D320A8">
        <w:rPr>
          <w:b/>
          <w:bCs/>
        </w:rPr>
        <w:t>Riesgo de Seguridad:</w:t>
      </w:r>
      <w:r w:rsidRPr="00D320A8">
        <w:t xml:space="preserve"> La custodia del PIN y la verificación del voucher son la primera barrera contra el fraude.</w:t>
      </w:r>
    </w:p>
    <w:p w14:paraId="49C7A1AD" w14:textId="77777777" w:rsidR="000D1EDE" w:rsidRDefault="000D1EDE"/>
    <w:sectPr w:rsidR="000D1E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2100"/>
    <w:multiLevelType w:val="multilevel"/>
    <w:tmpl w:val="73DA1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378D"/>
    <w:multiLevelType w:val="multilevel"/>
    <w:tmpl w:val="D09C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0721A"/>
    <w:multiLevelType w:val="multilevel"/>
    <w:tmpl w:val="3372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C756B"/>
    <w:multiLevelType w:val="multilevel"/>
    <w:tmpl w:val="A552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D11A5"/>
    <w:multiLevelType w:val="multilevel"/>
    <w:tmpl w:val="1D30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B318CB"/>
    <w:multiLevelType w:val="multilevel"/>
    <w:tmpl w:val="CCA67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F3299C"/>
    <w:multiLevelType w:val="multilevel"/>
    <w:tmpl w:val="F0302A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0A2665"/>
    <w:multiLevelType w:val="hybridMultilevel"/>
    <w:tmpl w:val="6EBA7842"/>
    <w:lvl w:ilvl="0" w:tplc="F3B29EF8">
      <w:start w:val="1"/>
      <w:numFmt w:val="bullet"/>
      <w:lvlText w:val=""/>
      <w:lvlJc w:val="left"/>
      <w:pPr>
        <w:tabs>
          <w:tab w:val="num" w:pos="720"/>
        </w:tabs>
        <w:ind w:left="720" w:hanging="360"/>
      </w:pPr>
      <w:rPr>
        <w:rFonts w:ascii="Symbol" w:hAnsi="Symbol" w:hint="default"/>
        <w:sz w:val="20"/>
      </w:rPr>
    </w:lvl>
    <w:lvl w:ilvl="1" w:tplc="105A9AD2">
      <w:start w:val="1"/>
      <w:numFmt w:val="decimal"/>
      <w:lvlText w:val="%2."/>
      <w:lvlJc w:val="left"/>
      <w:pPr>
        <w:tabs>
          <w:tab w:val="num" w:pos="1440"/>
        </w:tabs>
        <w:ind w:left="1440" w:hanging="360"/>
      </w:pPr>
    </w:lvl>
    <w:lvl w:ilvl="2" w:tplc="FA841EAC" w:tentative="1">
      <w:start w:val="1"/>
      <w:numFmt w:val="bullet"/>
      <w:lvlText w:val=""/>
      <w:lvlJc w:val="left"/>
      <w:pPr>
        <w:tabs>
          <w:tab w:val="num" w:pos="2160"/>
        </w:tabs>
        <w:ind w:left="2160" w:hanging="360"/>
      </w:pPr>
      <w:rPr>
        <w:rFonts w:ascii="Wingdings" w:hAnsi="Wingdings" w:hint="default"/>
        <w:sz w:val="20"/>
      </w:rPr>
    </w:lvl>
    <w:lvl w:ilvl="3" w:tplc="1D12836E" w:tentative="1">
      <w:start w:val="1"/>
      <w:numFmt w:val="bullet"/>
      <w:lvlText w:val=""/>
      <w:lvlJc w:val="left"/>
      <w:pPr>
        <w:tabs>
          <w:tab w:val="num" w:pos="2880"/>
        </w:tabs>
        <w:ind w:left="2880" w:hanging="360"/>
      </w:pPr>
      <w:rPr>
        <w:rFonts w:ascii="Wingdings" w:hAnsi="Wingdings" w:hint="default"/>
        <w:sz w:val="20"/>
      </w:rPr>
    </w:lvl>
    <w:lvl w:ilvl="4" w:tplc="8F007B6E" w:tentative="1">
      <w:start w:val="1"/>
      <w:numFmt w:val="bullet"/>
      <w:lvlText w:val=""/>
      <w:lvlJc w:val="left"/>
      <w:pPr>
        <w:tabs>
          <w:tab w:val="num" w:pos="3600"/>
        </w:tabs>
        <w:ind w:left="3600" w:hanging="360"/>
      </w:pPr>
      <w:rPr>
        <w:rFonts w:ascii="Wingdings" w:hAnsi="Wingdings" w:hint="default"/>
        <w:sz w:val="20"/>
      </w:rPr>
    </w:lvl>
    <w:lvl w:ilvl="5" w:tplc="A628EDA2" w:tentative="1">
      <w:start w:val="1"/>
      <w:numFmt w:val="bullet"/>
      <w:lvlText w:val=""/>
      <w:lvlJc w:val="left"/>
      <w:pPr>
        <w:tabs>
          <w:tab w:val="num" w:pos="4320"/>
        </w:tabs>
        <w:ind w:left="4320" w:hanging="360"/>
      </w:pPr>
      <w:rPr>
        <w:rFonts w:ascii="Wingdings" w:hAnsi="Wingdings" w:hint="default"/>
        <w:sz w:val="20"/>
      </w:rPr>
    </w:lvl>
    <w:lvl w:ilvl="6" w:tplc="09461820" w:tentative="1">
      <w:start w:val="1"/>
      <w:numFmt w:val="bullet"/>
      <w:lvlText w:val=""/>
      <w:lvlJc w:val="left"/>
      <w:pPr>
        <w:tabs>
          <w:tab w:val="num" w:pos="5040"/>
        </w:tabs>
        <w:ind w:left="5040" w:hanging="360"/>
      </w:pPr>
      <w:rPr>
        <w:rFonts w:ascii="Wingdings" w:hAnsi="Wingdings" w:hint="default"/>
        <w:sz w:val="20"/>
      </w:rPr>
    </w:lvl>
    <w:lvl w:ilvl="7" w:tplc="CBCAAFF6" w:tentative="1">
      <w:start w:val="1"/>
      <w:numFmt w:val="bullet"/>
      <w:lvlText w:val=""/>
      <w:lvlJc w:val="left"/>
      <w:pPr>
        <w:tabs>
          <w:tab w:val="num" w:pos="5760"/>
        </w:tabs>
        <w:ind w:left="5760" w:hanging="360"/>
      </w:pPr>
      <w:rPr>
        <w:rFonts w:ascii="Wingdings" w:hAnsi="Wingdings" w:hint="default"/>
        <w:sz w:val="20"/>
      </w:rPr>
    </w:lvl>
    <w:lvl w:ilvl="8" w:tplc="0D92F6A4"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9360D6"/>
    <w:multiLevelType w:val="multilevel"/>
    <w:tmpl w:val="8080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8C627A"/>
    <w:multiLevelType w:val="multilevel"/>
    <w:tmpl w:val="6D12D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098045">
    <w:abstractNumId w:val="6"/>
  </w:num>
  <w:num w:numId="2" w16cid:durableId="1187017922">
    <w:abstractNumId w:val="9"/>
  </w:num>
  <w:num w:numId="3" w16cid:durableId="1003434506">
    <w:abstractNumId w:val="0"/>
  </w:num>
  <w:num w:numId="4" w16cid:durableId="1241213979">
    <w:abstractNumId w:val="7"/>
  </w:num>
  <w:num w:numId="5" w16cid:durableId="2090536673">
    <w:abstractNumId w:val="4"/>
  </w:num>
  <w:num w:numId="6" w16cid:durableId="369764794">
    <w:abstractNumId w:val="2"/>
  </w:num>
  <w:num w:numId="7" w16cid:durableId="278688758">
    <w:abstractNumId w:val="8"/>
  </w:num>
  <w:num w:numId="8" w16cid:durableId="309142176">
    <w:abstractNumId w:val="5"/>
  </w:num>
  <w:num w:numId="9" w16cid:durableId="1745645977">
    <w:abstractNumId w:val="1"/>
  </w:num>
  <w:num w:numId="10" w16cid:durableId="115398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72A"/>
    <w:rsid w:val="00071C90"/>
    <w:rsid w:val="000D1EDE"/>
    <w:rsid w:val="001973AE"/>
    <w:rsid w:val="00320D26"/>
    <w:rsid w:val="00414AB1"/>
    <w:rsid w:val="0060701F"/>
    <w:rsid w:val="006473F9"/>
    <w:rsid w:val="00736F93"/>
    <w:rsid w:val="00804BD9"/>
    <w:rsid w:val="0092272A"/>
    <w:rsid w:val="00BF459D"/>
    <w:rsid w:val="00D320A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97554"/>
  <w15:chartTrackingRefBased/>
  <w15:docId w15:val="{97ECCF55-233D-4775-AF6C-A4610EF60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227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227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227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227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227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227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27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27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27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272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2272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2272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2272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2272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227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27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27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272A"/>
    <w:rPr>
      <w:rFonts w:eastAsiaTheme="majorEastAsia" w:cstheme="majorBidi"/>
      <w:color w:val="272727" w:themeColor="text1" w:themeTint="D8"/>
    </w:rPr>
  </w:style>
  <w:style w:type="paragraph" w:styleId="Ttulo">
    <w:name w:val="Title"/>
    <w:basedOn w:val="Normal"/>
    <w:next w:val="Normal"/>
    <w:link w:val="TtuloCar"/>
    <w:uiPriority w:val="10"/>
    <w:qFormat/>
    <w:rsid w:val="00922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27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27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27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272A"/>
    <w:pPr>
      <w:spacing w:before="160"/>
      <w:jc w:val="center"/>
    </w:pPr>
    <w:rPr>
      <w:i/>
      <w:iCs/>
      <w:color w:val="404040" w:themeColor="text1" w:themeTint="BF"/>
    </w:rPr>
  </w:style>
  <w:style w:type="character" w:customStyle="1" w:styleId="CitaCar">
    <w:name w:val="Cita Car"/>
    <w:basedOn w:val="Fuentedeprrafopredeter"/>
    <w:link w:val="Cita"/>
    <w:uiPriority w:val="29"/>
    <w:rsid w:val="0092272A"/>
    <w:rPr>
      <w:i/>
      <w:iCs/>
      <w:color w:val="404040" w:themeColor="text1" w:themeTint="BF"/>
    </w:rPr>
  </w:style>
  <w:style w:type="paragraph" w:styleId="Prrafodelista">
    <w:name w:val="List Paragraph"/>
    <w:basedOn w:val="Normal"/>
    <w:uiPriority w:val="34"/>
    <w:qFormat/>
    <w:rsid w:val="0092272A"/>
    <w:pPr>
      <w:ind w:left="720"/>
      <w:contextualSpacing/>
    </w:pPr>
  </w:style>
  <w:style w:type="character" w:styleId="nfasisintenso">
    <w:name w:val="Intense Emphasis"/>
    <w:basedOn w:val="Fuentedeprrafopredeter"/>
    <w:uiPriority w:val="21"/>
    <w:qFormat/>
    <w:rsid w:val="0092272A"/>
    <w:rPr>
      <w:i/>
      <w:iCs/>
      <w:color w:val="0F4761" w:themeColor="accent1" w:themeShade="BF"/>
    </w:rPr>
  </w:style>
  <w:style w:type="paragraph" w:styleId="Citadestacada">
    <w:name w:val="Intense Quote"/>
    <w:basedOn w:val="Normal"/>
    <w:next w:val="Normal"/>
    <w:link w:val="CitadestacadaCar"/>
    <w:uiPriority w:val="30"/>
    <w:qFormat/>
    <w:rsid w:val="009227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272A"/>
    <w:rPr>
      <w:i/>
      <w:iCs/>
      <w:color w:val="0F4761" w:themeColor="accent1" w:themeShade="BF"/>
    </w:rPr>
  </w:style>
  <w:style w:type="character" w:styleId="Referenciaintensa">
    <w:name w:val="Intense Reference"/>
    <w:basedOn w:val="Fuentedeprrafopredeter"/>
    <w:uiPriority w:val="32"/>
    <w:qFormat/>
    <w:rsid w:val="009227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1289</Words>
  <Characters>7090</Characters>
  <Application>Microsoft Office Word</Application>
  <DocSecurity>0</DocSecurity>
  <Lines>59</Lines>
  <Paragraphs>16</Paragraphs>
  <ScaleCrop>false</ScaleCrop>
  <Company/>
  <LinksUpToDate>false</LinksUpToDate>
  <CharactersWithSpaces>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5</cp:revision>
  <dcterms:created xsi:type="dcterms:W3CDTF">2026-05-06T19:44:00Z</dcterms:created>
  <dcterms:modified xsi:type="dcterms:W3CDTF">2026-05-06T19:49:00Z</dcterms:modified>
</cp:coreProperties>
</file>