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DE3B" w14:textId="77777777" w:rsidR="00B2527D" w:rsidRPr="00B2527D" w:rsidRDefault="00B2527D" w:rsidP="00B2527D">
      <w:pPr>
        <w:rPr>
          <w:b/>
          <w:bCs/>
        </w:rPr>
      </w:pPr>
      <w:r w:rsidRPr="00B2527D">
        <w:rPr>
          <w:b/>
          <w:bCs/>
        </w:rPr>
        <w:t>Resumen Ejecutivo</w:t>
      </w:r>
    </w:p>
    <w:p w14:paraId="66393627" w14:textId="77777777" w:rsidR="00B2527D" w:rsidRPr="00B2527D" w:rsidRDefault="00B2527D" w:rsidP="00B2527D">
      <w:r w:rsidRPr="00B2527D">
        <w:t>El inicio de la vida laboral y la percepción de un ingreso estable representan un punto de inflexión en la gestión patrimonial individual. Este documento actúa como el marco integrador para la toma de decisiones financieras responsables, enfatizando la transición de la gestión impulsiva a la planificación estratégica. Se establece una hoja de ruta que conecta el control de gastos, el ahorro por objetivos y la administración de productos transaccionales.</w:t>
      </w:r>
    </w:p>
    <w:p w14:paraId="3BDF6344" w14:textId="77777777" w:rsidR="00B2527D" w:rsidRPr="00B2527D" w:rsidRDefault="00B2527D" w:rsidP="00B2527D">
      <w:r w:rsidRPr="00B2527D">
        <w:pict w14:anchorId="1A90B9CD">
          <v:rect id="_x0000_i1060" style="width:0;height:1.5pt" o:hralign="center" o:hrstd="t" o:hr="t" fillcolor="#a0a0a0" stroked="f"/>
        </w:pict>
      </w:r>
    </w:p>
    <w:p w14:paraId="03EFED2A" w14:textId="77777777" w:rsidR="00B2527D" w:rsidRPr="00B2527D" w:rsidRDefault="00B2527D" w:rsidP="00B2527D">
      <w:pPr>
        <w:rPr>
          <w:b/>
          <w:bCs/>
        </w:rPr>
      </w:pPr>
      <w:r w:rsidRPr="00B2527D">
        <w:rPr>
          <w:b/>
          <w:bCs/>
        </w:rPr>
        <w:t>Contexto y Propósito del Documento</w:t>
      </w:r>
    </w:p>
    <w:p w14:paraId="266A2659" w14:textId="77777777" w:rsidR="00B2527D" w:rsidRPr="00B2527D" w:rsidRDefault="00B2527D" w:rsidP="00B2527D">
      <w:r w:rsidRPr="00B2527D">
        <w:t>Este texto constituye la matriz de navegación para usuarios que perciben su primer sueldo. Su propósito es consolidar las diversas dimensiones de la salud financiera —planificación, ahorro y medios de pago— en un flujo lógico que permita optimizar el uso del capital y minimizar riesgos operativos.</w:t>
      </w:r>
    </w:p>
    <w:p w14:paraId="514DDFC0" w14:textId="77777777" w:rsidR="00B2527D" w:rsidRPr="00B2527D" w:rsidRDefault="00B2527D" w:rsidP="00B2527D">
      <w:r w:rsidRPr="00B2527D">
        <w:pict w14:anchorId="3D34A3F2">
          <v:rect id="_x0000_i1061" style="width:0;height:1.5pt" o:hralign="center" o:hrstd="t" o:hr="t" fillcolor="#a0a0a0" stroked="f"/>
        </w:pict>
      </w:r>
    </w:p>
    <w:p w14:paraId="338DA42A" w14:textId="77777777" w:rsidR="00B2527D" w:rsidRPr="00B2527D" w:rsidRDefault="00B2527D" w:rsidP="00B2527D">
      <w:pPr>
        <w:rPr>
          <w:b/>
          <w:bCs/>
        </w:rPr>
      </w:pPr>
      <w:r w:rsidRPr="00B2527D">
        <w:rPr>
          <w:b/>
          <w:bCs/>
        </w:rPr>
        <w:t>Desarrollo del Contenido</w:t>
      </w:r>
    </w:p>
    <w:p w14:paraId="5BDFA9CF" w14:textId="77777777" w:rsidR="00B2527D" w:rsidRPr="00B2527D" w:rsidRDefault="00B2527D" w:rsidP="00B2527D">
      <w:pPr>
        <w:rPr>
          <w:b/>
          <w:bCs/>
        </w:rPr>
      </w:pPr>
      <w:r w:rsidRPr="00B2527D">
        <w:rPr>
          <w:b/>
          <w:bCs/>
        </w:rPr>
        <w:t>Sección 1: Planificación Estructural</w:t>
      </w:r>
    </w:p>
    <w:p w14:paraId="2E826023" w14:textId="77777777" w:rsidR="00B2527D" w:rsidRPr="00B2527D" w:rsidRDefault="00B2527D" w:rsidP="00B2527D">
      <w:r w:rsidRPr="00B2527D">
        <w:t>La recepción de ingresos estables exige la creación de un mapa financiero que determine la dirección de los recursos antes de su ejecución. Se debe evitar la toma de decisiones apresuradas mediante un diagnóstico realista de las capacidades de gasto.</w:t>
      </w:r>
    </w:p>
    <w:p w14:paraId="5AAEF4CE" w14:textId="273C5DD5" w:rsidR="00B2527D" w:rsidRPr="00B2527D" w:rsidRDefault="00B2527D" w:rsidP="00B2527D">
      <w:r w:rsidRPr="00B2527D">
        <w:rPr>
          <w:b/>
          <w:bCs/>
        </w:rPr>
        <w:t>Documento de referencia obligatoria:</w:t>
      </w:r>
      <w:r w:rsidRPr="00B2527D">
        <w:t xml:space="preserve"> </w:t>
      </w:r>
      <w:r w:rsidR="00EC5C64" w:rsidRPr="00EC5C64">
        <w:rPr>
          <w:i/>
          <w:iCs/>
        </w:rPr>
        <w:t>PlanificarSituaciónFinanciera</w:t>
      </w:r>
      <w:r w:rsidR="00EC5C64">
        <w:rPr>
          <w:i/>
          <w:iCs/>
        </w:rPr>
        <w:t>.docx</w:t>
      </w:r>
      <w:r w:rsidRPr="00B2527D">
        <w:rPr>
          <w:i/>
          <w:iCs/>
        </w:rPr>
        <w:t>.</w:t>
      </w:r>
    </w:p>
    <w:p w14:paraId="2DE95C3D" w14:textId="77777777" w:rsidR="00B2527D" w:rsidRPr="00B2527D" w:rsidRDefault="00B2527D" w:rsidP="00B2527D">
      <w:pPr>
        <w:rPr>
          <w:b/>
          <w:bCs/>
        </w:rPr>
      </w:pPr>
      <w:r w:rsidRPr="00B2527D">
        <w:rPr>
          <w:b/>
          <w:bCs/>
        </w:rPr>
        <w:t>Sección 2: Mitigación de Fugas de Capital</w:t>
      </w:r>
    </w:p>
    <w:p w14:paraId="6C844C2D" w14:textId="77777777" w:rsidR="00B2527D" w:rsidRPr="00B2527D" w:rsidRDefault="00B2527D" w:rsidP="00B2527D">
      <w:r w:rsidRPr="00B2527D">
        <w:t>Un componente crítico del éxito financiero inicial es la detección de egresos no planificados. Al aumentar los ingresos, el riesgo de incrementar el gasto en consumos menores es elevado, lo que puede comprometer la liquidez.</w:t>
      </w:r>
    </w:p>
    <w:p w14:paraId="2A6B4725" w14:textId="247B71AA" w:rsidR="00B2527D" w:rsidRPr="00B2527D" w:rsidRDefault="00B2527D" w:rsidP="00B2527D">
      <w:r w:rsidRPr="00B2527D">
        <w:rPr>
          <w:b/>
          <w:bCs/>
        </w:rPr>
        <w:t>Documento de referencia obligatoria:</w:t>
      </w:r>
      <w:r w:rsidRPr="00B2527D">
        <w:t xml:space="preserve"> </w:t>
      </w:r>
      <w:r w:rsidR="00AA5EB1" w:rsidRPr="00AA5EB1">
        <w:rPr>
          <w:i/>
          <w:iCs/>
        </w:rPr>
        <w:t>GastosHormiga.docx</w:t>
      </w:r>
      <w:r w:rsidRPr="00B2527D">
        <w:rPr>
          <w:i/>
          <w:iCs/>
        </w:rPr>
        <w:t>.</w:t>
      </w:r>
    </w:p>
    <w:p w14:paraId="70952663" w14:textId="77777777" w:rsidR="00B2527D" w:rsidRPr="00B2527D" w:rsidRDefault="00B2527D" w:rsidP="00B2527D">
      <w:pPr>
        <w:rPr>
          <w:b/>
          <w:bCs/>
        </w:rPr>
      </w:pPr>
      <w:r w:rsidRPr="00B2527D">
        <w:rPr>
          <w:b/>
          <w:bCs/>
        </w:rPr>
        <w:t>Sección 3: Arquitectura de Ahorro por Objetivos</w:t>
      </w:r>
    </w:p>
    <w:p w14:paraId="24EE9CE7" w14:textId="77777777" w:rsidR="00B2527D" w:rsidRPr="00B2527D" w:rsidRDefault="00B2527D" w:rsidP="00B2527D">
      <w:r w:rsidRPr="00B2527D">
        <w:t>El sueldo estable permite transitar del ahorro informal a sistemas estructurados que generan beneficios (intereses o subsidios estatales). La elección del tipo de cuenta dependerá del horizonte temporal y la finalidad del capital.</w:t>
      </w:r>
    </w:p>
    <w:p w14:paraId="710603FC" w14:textId="0C6A7FB9" w:rsidR="00B2527D" w:rsidRPr="00B2527D" w:rsidRDefault="00B2527D" w:rsidP="00B2527D">
      <w:r w:rsidRPr="00B2527D">
        <w:rPr>
          <w:b/>
          <w:bCs/>
        </w:rPr>
        <w:t>Documento de referencia obligatoria:</w:t>
      </w:r>
      <w:r w:rsidRPr="00B2527D">
        <w:t xml:space="preserve"> </w:t>
      </w:r>
      <w:r w:rsidR="00AA5EB1" w:rsidRPr="00AA5EB1">
        <w:rPr>
          <w:i/>
          <w:iCs/>
        </w:rPr>
        <w:t>CuentasAhorro.docx</w:t>
      </w:r>
      <w:r w:rsidRPr="00B2527D">
        <w:rPr>
          <w:i/>
          <w:iCs/>
        </w:rPr>
        <w:t>.</w:t>
      </w:r>
    </w:p>
    <w:p w14:paraId="0ED3D1FC" w14:textId="77777777" w:rsidR="00B2527D" w:rsidRPr="00B2527D" w:rsidRDefault="00B2527D" w:rsidP="00B2527D">
      <w:pPr>
        <w:rPr>
          <w:b/>
          <w:bCs/>
        </w:rPr>
      </w:pPr>
      <w:r w:rsidRPr="00B2527D">
        <w:rPr>
          <w:b/>
          <w:bCs/>
        </w:rPr>
        <w:lastRenderedPageBreak/>
        <w:t>Sección 4: Gestión de Liquidez y Medios de Pago</w:t>
      </w:r>
    </w:p>
    <w:p w14:paraId="6F2B78B3" w14:textId="2181C822" w:rsidR="00B2527D" w:rsidRPr="00B2527D" w:rsidRDefault="00B2527D" w:rsidP="00B2527D">
      <w:r w:rsidRPr="00B2527D">
        <w:t xml:space="preserve">Para la administración diaria del dinero, se requiere el uso de cuentas de depósito (corrientes o a la vista). Estas herramientas facilitan el flujo de </w:t>
      </w:r>
      <w:r w:rsidR="00E72D63" w:rsidRPr="00B2527D">
        <w:t>efectivo,</w:t>
      </w:r>
      <w:r w:rsidRPr="00B2527D">
        <w:t xml:space="preserve"> pero exigen un manejo técnico riguroso, especialmente en el uso de los plásticos asociados.</w:t>
      </w:r>
    </w:p>
    <w:p w14:paraId="71C26828" w14:textId="77777777" w:rsidR="00B2527D" w:rsidRPr="00B2527D" w:rsidRDefault="00B2527D" w:rsidP="00B2527D">
      <w:pPr>
        <w:numPr>
          <w:ilvl w:val="0"/>
          <w:numId w:val="1"/>
        </w:numPr>
      </w:pPr>
      <w:r w:rsidRPr="00B2527D">
        <w:rPr>
          <w:b/>
          <w:bCs/>
        </w:rPr>
        <w:t>Funcionamiento:</w:t>
      </w:r>
      <w:r w:rsidRPr="00B2527D">
        <w:t xml:space="preserve"> Entender la mecánica de cargo directo a fondos propios.</w:t>
      </w:r>
    </w:p>
    <w:p w14:paraId="4A22AD8F" w14:textId="77777777" w:rsidR="00B2527D" w:rsidRPr="00B2527D" w:rsidRDefault="00B2527D" w:rsidP="00B2527D">
      <w:pPr>
        <w:numPr>
          <w:ilvl w:val="0"/>
          <w:numId w:val="1"/>
        </w:numPr>
      </w:pPr>
      <w:r w:rsidRPr="00B2527D">
        <w:rPr>
          <w:b/>
          <w:bCs/>
        </w:rPr>
        <w:t>Seguridad:</w:t>
      </w:r>
      <w:r w:rsidRPr="00B2527D">
        <w:t xml:space="preserve"> Aplicación de protocolos para prevenir fraudes en redes nacionales e internacionales.</w:t>
      </w:r>
    </w:p>
    <w:p w14:paraId="2F691780" w14:textId="7C693FE3" w:rsidR="00B2527D" w:rsidRPr="00B2527D" w:rsidRDefault="00B2527D" w:rsidP="00B2527D">
      <w:r w:rsidRPr="00B2527D">
        <w:rPr>
          <w:b/>
          <w:bCs/>
        </w:rPr>
        <w:t>Documentos de referencia obligatoria:</w:t>
      </w:r>
      <w:r w:rsidRPr="00B2527D">
        <w:t xml:space="preserve"> </w:t>
      </w:r>
      <w:r w:rsidR="00E72D63" w:rsidRPr="00E72D63">
        <w:rPr>
          <w:i/>
          <w:iCs/>
        </w:rPr>
        <w:t>TarjetaDebito.docx</w:t>
      </w:r>
      <w:r w:rsidR="00632844">
        <w:rPr>
          <w:i/>
          <w:iCs/>
        </w:rPr>
        <w:t xml:space="preserve"> y </w:t>
      </w:r>
      <w:r w:rsidR="00632844" w:rsidRPr="00632844">
        <w:rPr>
          <w:i/>
          <w:iCs/>
        </w:rPr>
        <w:t>RecomendacionesTarjetaDebito.docx</w:t>
      </w:r>
      <w:r w:rsidRPr="00B2527D">
        <w:rPr>
          <w:i/>
          <w:iCs/>
        </w:rPr>
        <w:t>.</w:t>
      </w:r>
    </w:p>
    <w:p w14:paraId="6DB74717" w14:textId="77777777" w:rsidR="00B2527D" w:rsidRPr="00B2527D" w:rsidRDefault="00B2527D" w:rsidP="00B2527D">
      <w:r w:rsidRPr="00B2527D">
        <w:pict w14:anchorId="4E47DE4B">
          <v:rect id="_x0000_i1063" style="width:0;height:1.5pt" o:hralign="center" o:hrstd="t" o:hr="t" fillcolor="#a0a0a0" stroked="f"/>
        </w:pict>
      </w:r>
    </w:p>
    <w:p w14:paraId="2B2F2309" w14:textId="77777777" w:rsidR="00B2527D" w:rsidRPr="00B2527D" w:rsidRDefault="00B2527D" w:rsidP="00B2527D">
      <w:pPr>
        <w:rPr>
          <w:b/>
          <w:bCs/>
        </w:rPr>
      </w:pPr>
      <w:r w:rsidRPr="00B2527D">
        <w:rPr>
          <w:b/>
          <w:bCs/>
        </w:rPr>
        <w:t>Conceptos Financieros Clave</w:t>
      </w:r>
    </w:p>
    <w:p w14:paraId="4A5FD67A" w14:textId="77777777" w:rsidR="00B2527D" w:rsidRPr="00B2527D" w:rsidRDefault="00B2527D" w:rsidP="00B2527D">
      <w:pPr>
        <w:numPr>
          <w:ilvl w:val="0"/>
          <w:numId w:val="2"/>
        </w:numPr>
      </w:pPr>
      <w:r w:rsidRPr="00B2527D">
        <w:rPr>
          <w:b/>
          <w:bCs/>
        </w:rPr>
        <w:t>Ingreso Estable:</w:t>
      </w:r>
      <w:r w:rsidRPr="00B2527D">
        <w:t xml:space="preserve"> Flujo de caja recurrente que permite la proyección financiera a mediano y largo plazo.</w:t>
      </w:r>
    </w:p>
    <w:p w14:paraId="59B3E7BA" w14:textId="77777777" w:rsidR="00B2527D" w:rsidRPr="00B2527D" w:rsidRDefault="00B2527D" w:rsidP="00B2527D">
      <w:pPr>
        <w:numPr>
          <w:ilvl w:val="0"/>
          <w:numId w:val="2"/>
        </w:numPr>
      </w:pPr>
      <w:r w:rsidRPr="00B2527D">
        <w:rPr>
          <w:b/>
          <w:bCs/>
        </w:rPr>
        <w:t>Costo-Beneficio:</w:t>
      </w:r>
      <w:r w:rsidRPr="00B2527D">
        <w:t xml:space="preserve"> Análisis necesario para comparar las comisiones y servicios entre una cuenta corriente y una cuenta a la vista.</w:t>
      </w:r>
    </w:p>
    <w:p w14:paraId="65CDA981" w14:textId="77777777" w:rsidR="00B2527D" w:rsidRPr="00B2527D" w:rsidRDefault="00B2527D" w:rsidP="00B2527D">
      <w:pPr>
        <w:numPr>
          <w:ilvl w:val="0"/>
          <w:numId w:val="2"/>
        </w:numPr>
      </w:pPr>
      <w:r w:rsidRPr="00B2527D">
        <w:rPr>
          <w:b/>
          <w:bCs/>
        </w:rPr>
        <w:t>Depósito a la Vista:</w:t>
      </w:r>
      <w:r w:rsidRPr="00B2527D">
        <w:t xml:space="preserve"> Cuenta que permite la disponibilidad inmediata del dinero para transacciones y retiros.</w:t>
      </w:r>
    </w:p>
    <w:p w14:paraId="1DEC9906" w14:textId="77777777" w:rsidR="00B2527D" w:rsidRPr="00B2527D" w:rsidRDefault="00B2527D" w:rsidP="00B2527D">
      <w:r w:rsidRPr="00B2527D">
        <w:pict w14:anchorId="3627C075">
          <v:rect id="_x0000_i1064" style="width:0;height:1.5pt" o:hralign="center" o:hrstd="t" o:hr="t" fillcolor="#a0a0a0" stroked="f"/>
        </w:pict>
      </w:r>
    </w:p>
    <w:p w14:paraId="18B748E2" w14:textId="77777777" w:rsidR="00B2527D" w:rsidRPr="00B2527D" w:rsidRDefault="00B2527D" w:rsidP="00B2527D">
      <w:pPr>
        <w:rPr>
          <w:b/>
          <w:bCs/>
        </w:rPr>
      </w:pPr>
      <w:r w:rsidRPr="00B2527D">
        <w:rPr>
          <w:b/>
          <w:bCs/>
        </w:rPr>
        <w:t>Conclusiones / Ideas Principales</w:t>
      </w:r>
    </w:p>
    <w:p w14:paraId="4A73C770" w14:textId="77777777" w:rsidR="00B2527D" w:rsidRPr="00B2527D" w:rsidRDefault="00B2527D" w:rsidP="00B2527D">
      <w:pPr>
        <w:numPr>
          <w:ilvl w:val="0"/>
          <w:numId w:val="3"/>
        </w:numPr>
      </w:pPr>
      <w:r w:rsidRPr="00B2527D">
        <w:t xml:space="preserve">La </w:t>
      </w:r>
      <w:r w:rsidRPr="00B2527D">
        <w:rPr>
          <w:b/>
          <w:bCs/>
        </w:rPr>
        <w:t>planificación financiera</w:t>
      </w:r>
      <w:r w:rsidRPr="00B2527D">
        <w:t xml:space="preserve"> es el antídoto contra el sobreendeudamiento derivado de decisiones impulsivas tras el primer sueldo.</w:t>
      </w:r>
    </w:p>
    <w:p w14:paraId="56B6FC83" w14:textId="77777777" w:rsidR="00B2527D" w:rsidRPr="00B2527D" w:rsidRDefault="00B2527D" w:rsidP="00B2527D">
      <w:pPr>
        <w:numPr>
          <w:ilvl w:val="0"/>
          <w:numId w:val="3"/>
        </w:numPr>
      </w:pPr>
      <w:r w:rsidRPr="00B2527D">
        <w:t xml:space="preserve">La </w:t>
      </w:r>
      <w:r w:rsidRPr="00B2527D">
        <w:rPr>
          <w:b/>
          <w:bCs/>
        </w:rPr>
        <w:t>comparación de productos</w:t>
      </w:r>
      <w:r w:rsidRPr="00B2527D">
        <w:t xml:space="preserve"> (cuenta corriente vs. vista) es indispensable para minimizar el pago de comisiones innecesarias.</w:t>
      </w:r>
    </w:p>
    <w:p w14:paraId="45020BDA" w14:textId="77777777" w:rsidR="00B2527D" w:rsidRPr="00B2527D" w:rsidRDefault="00B2527D" w:rsidP="00B2527D">
      <w:pPr>
        <w:numPr>
          <w:ilvl w:val="0"/>
          <w:numId w:val="3"/>
        </w:numPr>
      </w:pPr>
      <w:r w:rsidRPr="00B2527D">
        <w:t xml:space="preserve">El </w:t>
      </w:r>
      <w:r w:rsidRPr="00B2527D">
        <w:rPr>
          <w:b/>
          <w:bCs/>
        </w:rPr>
        <w:t>control de gastos hormiga</w:t>
      </w:r>
      <w:r w:rsidRPr="00B2527D">
        <w:t xml:space="preserve"> es tan relevante como la generación de ingresos para mantener una balanza comercial personal positiva.</w:t>
      </w:r>
    </w:p>
    <w:p w14:paraId="7A8D7100" w14:textId="77777777" w:rsidR="00B2527D" w:rsidRPr="00B2527D" w:rsidRDefault="00B2527D" w:rsidP="00B2527D">
      <w:r w:rsidRPr="00B2527D">
        <w:pict w14:anchorId="2E0F20D9">
          <v:rect id="_x0000_i1065" style="width:0;height:1.5pt" o:hralign="center" o:hrstd="t" o:hr="t" fillcolor="#a0a0a0" stroked="f"/>
        </w:pict>
      </w:r>
    </w:p>
    <w:p w14:paraId="1F34FFCB" w14:textId="77777777" w:rsidR="00B2527D" w:rsidRPr="00B2527D" w:rsidRDefault="00B2527D" w:rsidP="00B2527D">
      <w:pPr>
        <w:rPr>
          <w:b/>
          <w:bCs/>
        </w:rPr>
      </w:pPr>
      <w:r w:rsidRPr="00B2527D">
        <w:rPr>
          <w:b/>
          <w:bCs/>
        </w:rPr>
        <w:t>Supuestos, Riesgos o Consideraciones Relevantes</w:t>
      </w:r>
    </w:p>
    <w:p w14:paraId="4F45CCB6" w14:textId="77777777" w:rsidR="00B2527D" w:rsidRPr="00B2527D" w:rsidRDefault="00B2527D" w:rsidP="00B2527D">
      <w:pPr>
        <w:numPr>
          <w:ilvl w:val="0"/>
          <w:numId w:val="4"/>
        </w:numPr>
      </w:pPr>
      <w:r w:rsidRPr="00B2527D">
        <w:rPr>
          <w:b/>
          <w:bCs/>
        </w:rPr>
        <w:t>Riesgo de Inflación de Estilo de Vida:</w:t>
      </w:r>
      <w:r w:rsidRPr="00B2527D">
        <w:t xml:space="preserve"> El supuesto de que "a más ingreso, mayor gasto permitido" puede neutralizar los beneficios de un sueldo estable si no se aplica la planificación previa.</w:t>
      </w:r>
    </w:p>
    <w:p w14:paraId="43CB4446" w14:textId="77777777" w:rsidR="00B2527D" w:rsidRPr="00B2527D" w:rsidRDefault="00B2527D" w:rsidP="00B2527D">
      <w:pPr>
        <w:numPr>
          <w:ilvl w:val="0"/>
          <w:numId w:val="4"/>
        </w:numPr>
      </w:pPr>
      <w:r w:rsidRPr="00B2527D">
        <w:rPr>
          <w:b/>
          <w:bCs/>
        </w:rPr>
        <w:lastRenderedPageBreak/>
        <w:t>Consideración de Costos:</w:t>
      </w:r>
      <w:r w:rsidRPr="00B2527D">
        <w:t xml:space="preserve"> Se asume que el usuario evaluará los costos de mantención de las cuentas antes de su apertura, ya que estos pueden variar significativamente entre instituciones.</w:t>
      </w:r>
    </w:p>
    <w:p w14:paraId="1BF627D0"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A1E"/>
    <w:multiLevelType w:val="multilevel"/>
    <w:tmpl w:val="DE3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6EB3"/>
    <w:multiLevelType w:val="multilevel"/>
    <w:tmpl w:val="132C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C107BE"/>
    <w:multiLevelType w:val="multilevel"/>
    <w:tmpl w:val="72A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226F6"/>
    <w:multiLevelType w:val="multilevel"/>
    <w:tmpl w:val="B5A4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927924">
    <w:abstractNumId w:val="3"/>
  </w:num>
  <w:num w:numId="2" w16cid:durableId="1502888030">
    <w:abstractNumId w:val="0"/>
  </w:num>
  <w:num w:numId="3" w16cid:durableId="1728869001">
    <w:abstractNumId w:val="1"/>
  </w:num>
  <w:num w:numId="4" w16cid:durableId="1240098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932"/>
    <w:rsid w:val="00071C90"/>
    <w:rsid w:val="000D1EDE"/>
    <w:rsid w:val="00320D26"/>
    <w:rsid w:val="00414AB1"/>
    <w:rsid w:val="00614932"/>
    <w:rsid w:val="00632844"/>
    <w:rsid w:val="006473F9"/>
    <w:rsid w:val="00736F93"/>
    <w:rsid w:val="00AA5EB1"/>
    <w:rsid w:val="00B2527D"/>
    <w:rsid w:val="00D720B7"/>
    <w:rsid w:val="00E72D63"/>
    <w:rsid w:val="00EC5C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63B3"/>
  <w15:chartTrackingRefBased/>
  <w15:docId w15:val="{428D9CAC-88A0-4B18-936A-C37B4D9A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4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9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9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9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9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9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9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9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9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9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9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9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9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9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9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9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932"/>
    <w:rPr>
      <w:rFonts w:eastAsiaTheme="majorEastAsia" w:cstheme="majorBidi"/>
      <w:color w:val="272727" w:themeColor="text1" w:themeTint="D8"/>
    </w:rPr>
  </w:style>
  <w:style w:type="paragraph" w:styleId="Ttulo">
    <w:name w:val="Title"/>
    <w:basedOn w:val="Normal"/>
    <w:next w:val="Normal"/>
    <w:link w:val="TtuloCar"/>
    <w:uiPriority w:val="10"/>
    <w:qFormat/>
    <w:rsid w:val="00614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9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9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9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932"/>
    <w:pPr>
      <w:spacing w:before="160"/>
      <w:jc w:val="center"/>
    </w:pPr>
    <w:rPr>
      <w:i/>
      <w:iCs/>
      <w:color w:val="404040" w:themeColor="text1" w:themeTint="BF"/>
    </w:rPr>
  </w:style>
  <w:style w:type="character" w:customStyle="1" w:styleId="CitaCar">
    <w:name w:val="Cita Car"/>
    <w:basedOn w:val="Fuentedeprrafopredeter"/>
    <w:link w:val="Cita"/>
    <w:uiPriority w:val="29"/>
    <w:rsid w:val="00614932"/>
    <w:rPr>
      <w:i/>
      <w:iCs/>
      <w:color w:val="404040" w:themeColor="text1" w:themeTint="BF"/>
    </w:rPr>
  </w:style>
  <w:style w:type="paragraph" w:styleId="Prrafodelista">
    <w:name w:val="List Paragraph"/>
    <w:basedOn w:val="Normal"/>
    <w:uiPriority w:val="34"/>
    <w:qFormat/>
    <w:rsid w:val="00614932"/>
    <w:pPr>
      <w:ind w:left="720"/>
      <w:contextualSpacing/>
    </w:pPr>
  </w:style>
  <w:style w:type="character" w:styleId="nfasisintenso">
    <w:name w:val="Intense Emphasis"/>
    <w:basedOn w:val="Fuentedeprrafopredeter"/>
    <w:uiPriority w:val="21"/>
    <w:qFormat/>
    <w:rsid w:val="00614932"/>
    <w:rPr>
      <w:i/>
      <w:iCs/>
      <w:color w:val="0F4761" w:themeColor="accent1" w:themeShade="BF"/>
    </w:rPr>
  </w:style>
  <w:style w:type="paragraph" w:styleId="Citadestacada">
    <w:name w:val="Intense Quote"/>
    <w:basedOn w:val="Normal"/>
    <w:next w:val="Normal"/>
    <w:link w:val="CitadestacadaCar"/>
    <w:uiPriority w:val="30"/>
    <w:qFormat/>
    <w:rsid w:val="00614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932"/>
    <w:rPr>
      <w:i/>
      <w:iCs/>
      <w:color w:val="0F4761" w:themeColor="accent1" w:themeShade="BF"/>
    </w:rPr>
  </w:style>
  <w:style w:type="character" w:styleId="Referenciaintensa">
    <w:name w:val="Intense Reference"/>
    <w:basedOn w:val="Fuentedeprrafopredeter"/>
    <w:uiPriority w:val="32"/>
    <w:qFormat/>
    <w:rsid w:val="00614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561</Words>
  <Characters>3087</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6</cp:revision>
  <dcterms:created xsi:type="dcterms:W3CDTF">2026-05-06T18:38:00Z</dcterms:created>
  <dcterms:modified xsi:type="dcterms:W3CDTF">2026-05-06T18:41:00Z</dcterms:modified>
</cp:coreProperties>
</file>