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4940" w14:textId="1552588A" w:rsidR="00EE6D8D" w:rsidRPr="00EE6D8D" w:rsidRDefault="00D764F0" w:rsidP="00EE6D8D">
      <w:r>
        <w:rPr>
          <w:b/>
          <w:bCs/>
        </w:rPr>
        <w:t xml:space="preserve">Nombre del documento: </w:t>
      </w:r>
      <w:r w:rsidR="00EE6D8D" w:rsidRPr="00EE6D8D">
        <w:t>Recomendaciones de uso de la Tarjeta de Débito</w:t>
      </w:r>
    </w:p>
    <w:p w14:paraId="1882DBE7" w14:textId="5155F590" w:rsidR="00D764F0" w:rsidRPr="00EE6D8D" w:rsidRDefault="00D764F0" w:rsidP="00D764F0"/>
    <w:p w14:paraId="723DB6AE" w14:textId="423C25CC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Resumen Ejecutivo</w:t>
      </w:r>
    </w:p>
    <w:p w14:paraId="4496317D" w14:textId="77777777" w:rsidR="00D764F0" w:rsidRPr="00D764F0" w:rsidRDefault="00D764F0" w:rsidP="00D764F0">
      <w:r w:rsidRPr="00D764F0">
        <w:t>El uso eficiente de la tarjeta de débito como "dinero plástico" requiere la adopción de medidas preventivas y operativas que aseguren la integridad de los fondos y la continuidad del servicio. Este documento sistematiza las recomendaciones esenciales para la interacción con cajeros automáticos, la gestión de la privacidad de las credenciales y el control administrativo de las transacciones, tanto en el ámbito nacional como internacional.</w:t>
      </w:r>
    </w:p>
    <w:p w14:paraId="50F5610D" w14:textId="77777777" w:rsidR="00D764F0" w:rsidRPr="00D764F0" w:rsidRDefault="00D764F0" w:rsidP="00D764F0">
      <w:r w:rsidRPr="00D764F0">
        <w:pict w14:anchorId="12234287">
          <v:rect id="_x0000_i1055" style="width:0;height:1.5pt" o:hralign="center" o:hrstd="t" o:hr="t" fillcolor="#a0a0a0" stroked="f"/>
        </w:pict>
      </w:r>
    </w:p>
    <w:p w14:paraId="709904FD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Contexto y Propósito del Documento</w:t>
      </w:r>
    </w:p>
    <w:p w14:paraId="396152E0" w14:textId="77777777" w:rsidR="00D764F0" w:rsidRPr="00D764F0" w:rsidRDefault="00D764F0" w:rsidP="00D764F0">
      <w:r w:rsidRPr="00D764F0">
        <w:t>La tarjeta de débito es un instrumento de pago vinculado a cuentas bancarias (corriente, de ahorro o a la vista) que exige un manejo informado para mitigar riesgos operativos y financieros. El propósito de esta guía es proporcionar un marco de referencia sobre las mejores prácticas de seguridad y administración de este recurso, garantizando que el usuario mantenga el control sobre sus saldos y la validez de sus movimientos.</w:t>
      </w:r>
    </w:p>
    <w:p w14:paraId="65B523AE" w14:textId="77777777" w:rsidR="00D764F0" w:rsidRPr="00D764F0" w:rsidRDefault="00D764F0" w:rsidP="00D764F0">
      <w:r w:rsidRPr="00D764F0">
        <w:pict w14:anchorId="6DBBE6CB">
          <v:rect id="_x0000_i1056" style="width:0;height:1.5pt" o:hralign="center" o:hrstd="t" o:hr="t" fillcolor="#a0a0a0" stroked="f"/>
        </w:pict>
      </w:r>
    </w:p>
    <w:p w14:paraId="7126AEE9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Desarrollo del Contenido</w:t>
      </w:r>
    </w:p>
    <w:p w14:paraId="741125A4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Sección 1: Interoperabilidad y Redes de Pago</w:t>
      </w:r>
    </w:p>
    <w:p w14:paraId="50DDEE4D" w14:textId="77777777" w:rsidR="00D764F0" w:rsidRPr="00D764F0" w:rsidRDefault="00D764F0" w:rsidP="00D764F0">
      <w:r w:rsidRPr="00D764F0">
        <w:t>Para asegurar la eficacia del instrumento, el titular debe verificar la compatibilidad de su tarjeta con las redes locales e internacionales:</w:t>
      </w:r>
    </w:p>
    <w:p w14:paraId="6D0BE533" w14:textId="77777777" w:rsidR="00D764F0" w:rsidRPr="00D764F0" w:rsidRDefault="00D764F0" w:rsidP="00D764F0">
      <w:pPr>
        <w:numPr>
          <w:ilvl w:val="0"/>
          <w:numId w:val="1"/>
        </w:numPr>
      </w:pPr>
      <w:r w:rsidRPr="00D764F0">
        <w:rPr>
          <w:b/>
          <w:bCs/>
        </w:rPr>
        <w:t>Ámbito Nacional (Chile):</w:t>
      </w:r>
      <w:r w:rsidRPr="00D764F0">
        <w:t xml:space="preserve"> La red principal de operación es </w:t>
      </w:r>
      <w:proofErr w:type="spellStart"/>
      <w:r w:rsidRPr="00D764F0">
        <w:rPr>
          <w:b/>
          <w:bCs/>
        </w:rPr>
        <w:t>Redbanc</w:t>
      </w:r>
      <w:proofErr w:type="spellEnd"/>
      <w:r w:rsidRPr="00D764F0">
        <w:t>.</w:t>
      </w:r>
    </w:p>
    <w:p w14:paraId="7C64BE93" w14:textId="77777777" w:rsidR="00D764F0" w:rsidRPr="00D764F0" w:rsidRDefault="00D764F0" w:rsidP="00D764F0">
      <w:pPr>
        <w:numPr>
          <w:ilvl w:val="0"/>
          <w:numId w:val="1"/>
        </w:numPr>
      </w:pPr>
      <w:r w:rsidRPr="00D764F0">
        <w:rPr>
          <w:b/>
          <w:bCs/>
        </w:rPr>
        <w:t>Ámbito Internacional:</w:t>
      </w:r>
      <w:r w:rsidRPr="00D764F0">
        <w:t xml:space="preserve"> La interoperabilidad se logra a través de la afiliación a redes globales como </w:t>
      </w:r>
      <w:r w:rsidRPr="00D764F0">
        <w:rPr>
          <w:b/>
          <w:bCs/>
        </w:rPr>
        <w:t>Cirrus</w:t>
      </w:r>
      <w:r w:rsidRPr="00D764F0">
        <w:t xml:space="preserve"> y </w:t>
      </w:r>
      <w:r w:rsidRPr="00D764F0">
        <w:rPr>
          <w:b/>
          <w:bCs/>
        </w:rPr>
        <w:t>Plus</w:t>
      </w:r>
      <w:r w:rsidRPr="00D764F0">
        <w:t>.</w:t>
      </w:r>
    </w:p>
    <w:p w14:paraId="3FF000B8" w14:textId="77777777" w:rsidR="00D764F0" w:rsidRPr="00D764F0" w:rsidRDefault="00D764F0" w:rsidP="00D764F0">
      <w:pPr>
        <w:numPr>
          <w:ilvl w:val="0"/>
          <w:numId w:val="1"/>
        </w:numPr>
      </w:pPr>
      <w:r w:rsidRPr="00D764F0">
        <w:rPr>
          <w:b/>
          <w:bCs/>
        </w:rPr>
        <w:t>Recomendación:</w:t>
      </w:r>
      <w:r w:rsidRPr="00D764F0">
        <w:t xml:space="preserve"> Antes de transaccionar, especialmente en el extranjero, se debe confirmar que el dispositivo (cajero o terminal de pago) exhiba los logotipos de las redes mencionadas para garantizar que la tarjeta esté habilitada.</w:t>
      </w:r>
    </w:p>
    <w:p w14:paraId="75585B4C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Sección 2: Seguridad Operativa en el Punto de Interacción</w:t>
      </w:r>
    </w:p>
    <w:p w14:paraId="59B36540" w14:textId="77777777" w:rsidR="00D764F0" w:rsidRPr="00D764F0" w:rsidRDefault="00D764F0" w:rsidP="00D764F0">
      <w:r w:rsidRPr="00D764F0">
        <w:lastRenderedPageBreak/>
        <w:t>La interacción física con los dispositivos electrónicos es un punto crítico de seguridad:</w:t>
      </w:r>
    </w:p>
    <w:p w14:paraId="52401ECB" w14:textId="77777777" w:rsidR="00D764F0" w:rsidRPr="00D764F0" w:rsidRDefault="00D764F0" w:rsidP="00D764F0">
      <w:pPr>
        <w:numPr>
          <w:ilvl w:val="0"/>
          <w:numId w:val="2"/>
        </w:numPr>
      </w:pPr>
      <w:r w:rsidRPr="00D764F0">
        <w:rPr>
          <w:b/>
          <w:bCs/>
        </w:rPr>
        <w:t>Inspección del Hardware:</w:t>
      </w:r>
      <w:r w:rsidRPr="00D764F0">
        <w:t xml:space="preserve"> Antes de insertar la tarjeta, se debe verificar que el cajero automático no presente alteraciones físicas y que la pantalla muestre mensajes de operación normal.</w:t>
      </w:r>
    </w:p>
    <w:p w14:paraId="00EA23B9" w14:textId="77777777" w:rsidR="00D764F0" w:rsidRPr="00D764F0" w:rsidRDefault="00D764F0" w:rsidP="00D764F0">
      <w:pPr>
        <w:numPr>
          <w:ilvl w:val="0"/>
          <w:numId w:val="2"/>
        </w:numPr>
      </w:pPr>
      <w:r w:rsidRPr="00D764F0">
        <w:rPr>
          <w:b/>
          <w:bCs/>
        </w:rPr>
        <w:t>Gestión de la Autenticación (PIN):</w:t>
      </w:r>
    </w:p>
    <w:p w14:paraId="316918BF" w14:textId="77777777" w:rsidR="00D764F0" w:rsidRPr="00D764F0" w:rsidRDefault="00D764F0" w:rsidP="00D764F0">
      <w:pPr>
        <w:numPr>
          <w:ilvl w:val="1"/>
          <w:numId w:val="2"/>
        </w:numPr>
      </w:pPr>
      <w:r w:rsidRPr="00D764F0">
        <w:t xml:space="preserve">La contraseña es estrictamente personal y no debe ser compartida </w:t>
      </w:r>
      <w:proofErr w:type="gramStart"/>
      <w:r w:rsidRPr="00D764F0">
        <w:t>bajo ninguna circunstancia</w:t>
      </w:r>
      <w:proofErr w:type="gramEnd"/>
      <w:r w:rsidRPr="00D764F0">
        <w:t>.</w:t>
      </w:r>
    </w:p>
    <w:p w14:paraId="27E71521" w14:textId="77777777" w:rsidR="00D764F0" w:rsidRPr="00D764F0" w:rsidRDefault="00D764F0" w:rsidP="00D764F0">
      <w:pPr>
        <w:numPr>
          <w:ilvl w:val="1"/>
          <w:numId w:val="2"/>
        </w:numPr>
      </w:pPr>
      <w:r w:rsidRPr="00D764F0">
        <w:t>Al ingresar los dígitos, es imperativo ocultar el teclado de la vista de terceros o de posibles cámaras ocultas.</w:t>
      </w:r>
    </w:p>
    <w:p w14:paraId="67226BBD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Sección 3: Control Administrativo y Soporte</w:t>
      </w:r>
    </w:p>
    <w:p w14:paraId="2E8C2490" w14:textId="77777777" w:rsidR="00D764F0" w:rsidRPr="00D764F0" w:rsidRDefault="00D764F0" w:rsidP="00D764F0">
      <w:r w:rsidRPr="00D764F0">
        <w:t>El éxito del plan financiero personal depende del seguimiento riguroso de los movimientos:</w:t>
      </w:r>
    </w:p>
    <w:p w14:paraId="516383E0" w14:textId="77777777" w:rsidR="00D764F0" w:rsidRPr="00D764F0" w:rsidRDefault="00D764F0" w:rsidP="00D764F0">
      <w:pPr>
        <w:numPr>
          <w:ilvl w:val="0"/>
          <w:numId w:val="3"/>
        </w:numPr>
      </w:pPr>
      <w:r w:rsidRPr="00D764F0">
        <w:rPr>
          <w:b/>
          <w:bCs/>
        </w:rPr>
        <w:t>Precondición de Fondos:</w:t>
      </w:r>
      <w:r w:rsidRPr="00D764F0">
        <w:t xml:space="preserve"> La validez de cualquier transacción está supeditada a la existencia de saldo suficiente en la cuenta asociada.</w:t>
      </w:r>
    </w:p>
    <w:p w14:paraId="71C700DD" w14:textId="77777777" w:rsidR="00D764F0" w:rsidRPr="00D764F0" w:rsidRDefault="00D764F0" w:rsidP="00D764F0">
      <w:pPr>
        <w:numPr>
          <w:ilvl w:val="0"/>
          <w:numId w:val="3"/>
        </w:numPr>
      </w:pPr>
      <w:r w:rsidRPr="00D764F0">
        <w:rPr>
          <w:b/>
          <w:bCs/>
        </w:rPr>
        <w:t>Conciliación de Movimientos:</w:t>
      </w:r>
      <w:r w:rsidRPr="00D764F0">
        <w:t xml:space="preserve"> Es fundamental custodiar todos los comprobantes de pago físicos o digitales. Estos deben ser cotejados mensualmente contra el </w:t>
      </w:r>
      <w:r w:rsidRPr="00D764F0">
        <w:rPr>
          <w:b/>
          <w:bCs/>
        </w:rPr>
        <w:t>Estado de Cuenta</w:t>
      </w:r>
      <w:r w:rsidRPr="00D764F0">
        <w:t xml:space="preserve"> para detectar y reclamar oportunamente cargos no reconocidos o erróneos.</w:t>
      </w:r>
    </w:p>
    <w:p w14:paraId="7A790BFA" w14:textId="77777777" w:rsidR="00D764F0" w:rsidRPr="00D764F0" w:rsidRDefault="00D764F0" w:rsidP="00D764F0">
      <w:pPr>
        <w:numPr>
          <w:ilvl w:val="0"/>
          <w:numId w:val="3"/>
        </w:numPr>
      </w:pPr>
      <w:r w:rsidRPr="00D764F0">
        <w:rPr>
          <w:b/>
          <w:bCs/>
        </w:rPr>
        <w:t>Protocolo de Emergencia:</w:t>
      </w:r>
      <w:r w:rsidRPr="00D764F0">
        <w:t xml:space="preserve"> Ante cualquier irregularidad, falla técnica o pérdida, el usuario debe contactar de inmediato a:</w:t>
      </w:r>
    </w:p>
    <w:p w14:paraId="10CD7307" w14:textId="77777777" w:rsidR="00D764F0" w:rsidRPr="00D764F0" w:rsidRDefault="00D764F0" w:rsidP="00D764F0">
      <w:pPr>
        <w:numPr>
          <w:ilvl w:val="1"/>
          <w:numId w:val="3"/>
        </w:numPr>
      </w:pPr>
      <w:r w:rsidRPr="00D764F0">
        <w:rPr>
          <w:b/>
          <w:bCs/>
        </w:rPr>
        <w:t>Canal Telefónico:</w:t>
      </w:r>
      <w:r w:rsidRPr="00D764F0">
        <w:t xml:space="preserve"> 800 206 206.</w:t>
      </w:r>
    </w:p>
    <w:p w14:paraId="34C29B1A" w14:textId="77777777" w:rsidR="00D764F0" w:rsidRPr="00D764F0" w:rsidRDefault="00D764F0" w:rsidP="00D764F0">
      <w:pPr>
        <w:numPr>
          <w:ilvl w:val="1"/>
          <w:numId w:val="3"/>
        </w:numPr>
      </w:pPr>
      <w:r w:rsidRPr="00D764F0">
        <w:rPr>
          <w:b/>
          <w:bCs/>
        </w:rPr>
        <w:t>Canal Digital:</w:t>
      </w:r>
      <w:r w:rsidRPr="00D764F0">
        <w:t xml:space="preserve"> Sitio web oficial de </w:t>
      </w:r>
      <w:proofErr w:type="spellStart"/>
      <w:r w:rsidRPr="00D764F0">
        <w:t>Redbanc</w:t>
      </w:r>
      <w:proofErr w:type="spellEnd"/>
      <w:r w:rsidRPr="00D764F0">
        <w:t>.</w:t>
      </w:r>
    </w:p>
    <w:p w14:paraId="28C4F9D5" w14:textId="77777777" w:rsidR="00D764F0" w:rsidRPr="00D764F0" w:rsidRDefault="00D764F0" w:rsidP="00D764F0">
      <w:r w:rsidRPr="00D764F0">
        <w:pict w14:anchorId="5C91EAF6">
          <v:rect id="_x0000_i1057" style="width:0;height:1.5pt" o:hralign="center" o:hrstd="t" o:hr="t" fillcolor="#a0a0a0" stroked="f"/>
        </w:pict>
      </w:r>
    </w:p>
    <w:p w14:paraId="27B11B80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Conceptos Financieros Clave</w:t>
      </w:r>
    </w:p>
    <w:p w14:paraId="5078BD0A" w14:textId="77777777" w:rsidR="00D764F0" w:rsidRPr="00D764F0" w:rsidRDefault="00D764F0" w:rsidP="00D764F0">
      <w:pPr>
        <w:numPr>
          <w:ilvl w:val="0"/>
          <w:numId w:val="4"/>
        </w:numPr>
      </w:pPr>
      <w:proofErr w:type="spellStart"/>
      <w:r w:rsidRPr="00D764F0">
        <w:rPr>
          <w:b/>
          <w:bCs/>
        </w:rPr>
        <w:t>Redbanc</w:t>
      </w:r>
      <w:proofErr w:type="spellEnd"/>
      <w:r w:rsidRPr="00D764F0">
        <w:rPr>
          <w:b/>
          <w:bCs/>
        </w:rPr>
        <w:t>:</w:t>
      </w:r>
      <w:r w:rsidRPr="00D764F0">
        <w:t xml:space="preserve"> Administradora de la red de cajeros automáticos en Chile.</w:t>
      </w:r>
    </w:p>
    <w:p w14:paraId="42F903AC" w14:textId="77777777" w:rsidR="00D764F0" w:rsidRPr="00D764F0" w:rsidRDefault="00D764F0" w:rsidP="00D764F0">
      <w:pPr>
        <w:numPr>
          <w:ilvl w:val="0"/>
          <w:numId w:val="4"/>
        </w:numPr>
      </w:pPr>
      <w:r w:rsidRPr="00D764F0">
        <w:rPr>
          <w:b/>
          <w:bCs/>
        </w:rPr>
        <w:t>Cirrus / Plus:</w:t>
      </w:r>
      <w:r w:rsidRPr="00D764F0">
        <w:t xml:space="preserve"> Redes interbancarias globales que permiten el uso de tarjetas de débito en cajeros automáticos de distintos países.</w:t>
      </w:r>
    </w:p>
    <w:p w14:paraId="660EAB8F" w14:textId="77777777" w:rsidR="00D764F0" w:rsidRPr="00D764F0" w:rsidRDefault="00D764F0" w:rsidP="00D764F0">
      <w:pPr>
        <w:numPr>
          <w:ilvl w:val="0"/>
          <w:numId w:val="4"/>
        </w:numPr>
      </w:pPr>
      <w:r w:rsidRPr="00D764F0">
        <w:rPr>
          <w:b/>
          <w:bCs/>
        </w:rPr>
        <w:t>Conciliación Bancaria:</w:t>
      </w:r>
      <w:r w:rsidRPr="00D764F0">
        <w:t xml:space="preserve"> Proceso de comparar los registros de gastos propios (comprobantes) con el reporte de la institución financiera (Estado de Cuenta).</w:t>
      </w:r>
    </w:p>
    <w:p w14:paraId="5BD87121" w14:textId="77777777" w:rsidR="00D764F0" w:rsidRPr="00D764F0" w:rsidRDefault="00D764F0" w:rsidP="00D764F0">
      <w:pPr>
        <w:numPr>
          <w:ilvl w:val="0"/>
          <w:numId w:val="4"/>
        </w:numPr>
      </w:pPr>
      <w:r w:rsidRPr="00D764F0">
        <w:rPr>
          <w:b/>
          <w:bCs/>
        </w:rPr>
        <w:lastRenderedPageBreak/>
        <w:t>Habilitación:</w:t>
      </w:r>
      <w:r w:rsidRPr="00D764F0">
        <w:t xml:space="preserve"> Estado activo de una tarjeta para operar en una red específica.</w:t>
      </w:r>
    </w:p>
    <w:p w14:paraId="1978D336" w14:textId="77777777" w:rsidR="00D764F0" w:rsidRPr="00D764F0" w:rsidRDefault="00D764F0" w:rsidP="00D764F0">
      <w:r w:rsidRPr="00D764F0">
        <w:pict w14:anchorId="64EFCAE3">
          <v:rect id="_x0000_i1058" style="width:0;height:1.5pt" o:hralign="center" o:hrstd="t" o:hr="t" fillcolor="#a0a0a0" stroked="f"/>
        </w:pict>
      </w:r>
    </w:p>
    <w:p w14:paraId="4B4B7863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Conclusiones / Ideas Principales</w:t>
      </w:r>
    </w:p>
    <w:p w14:paraId="29564987" w14:textId="77777777" w:rsidR="00D764F0" w:rsidRPr="00D764F0" w:rsidRDefault="00D764F0" w:rsidP="00D764F0">
      <w:pPr>
        <w:numPr>
          <w:ilvl w:val="0"/>
          <w:numId w:val="5"/>
        </w:numPr>
      </w:pPr>
      <w:r w:rsidRPr="00D764F0">
        <w:t xml:space="preserve">La seguridad en el uso de la tarjeta de débito es una responsabilidad compartida entre la institución y el usuario, centrada en la </w:t>
      </w:r>
      <w:r w:rsidRPr="00D764F0">
        <w:rPr>
          <w:b/>
          <w:bCs/>
        </w:rPr>
        <w:t>confidencialidad de la clave</w:t>
      </w:r>
      <w:r w:rsidRPr="00D764F0">
        <w:t>.</w:t>
      </w:r>
    </w:p>
    <w:p w14:paraId="6E4F9888" w14:textId="77777777" w:rsidR="00D764F0" w:rsidRPr="00D764F0" w:rsidRDefault="00D764F0" w:rsidP="00D764F0">
      <w:pPr>
        <w:numPr>
          <w:ilvl w:val="0"/>
          <w:numId w:val="5"/>
        </w:numPr>
      </w:pPr>
      <w:r w:rsidRPr="00D764F0">
        <w:t xml:space="preserve">La </w:t>
      </w:r>
      <w:r w:rsidRPr="00D764F0">
        <w:rPr>
          <w:b/>
          <w:bCs/>
        </w:rPr>
        <w:t>interconectividad internacional</w:t>
      </w:r>
      <w:r w:rsidRPr="00D764F0">
        <w:t xml:space="preserve"> (Cirrus/Plus) es lo que permite la movilidad financiera del usuario fuera de las fronteras nacionales.</w:t>
      </w:r>
    </w:p>
    <w:p w14:paraId="7E9B8719" w14:textId="77777777" w:rsidR="00D764F0" w:rsidRPr="00D764F0" w:rsidRDefault="00D764F0" w:rsidP="00D764F0">
      <w:pPr>
        <w:numPr>
          <w:ilvl w:val="0"/>
          <w:numId w:val="5"/>
        </w:numPr>
      </w:pPr>
      <w:r w:rsidRPr="00D764F0">
        <w:t xml:space="preserve">El </w:t>
      </w:r>
      <w:r w:rsidRPr="00D764F0">
        <w:rPr>
          <w:b/>
          <w:bCs/>
        </w:rPr>
        <w:t>comprobante de pago</w:t>
      </w:r>
      <w:r w:rsidRPr="00D764F0">
        <w:t xml:space="preserve"> es la única herramienta de respaldo del consumidor para auditar la veracidad de los cargos reflejados en su cuenta.</w:t>
      </w:r>
    </w:p>
    <w:p w14:paraId="2F9AC74A" w14:textId="77777777" w:rsidR="00D764F0" w:rsidRPr="00D764F0" w:rsidRDefault="00D764F0" w:rsidP="00D764F0">
      <w:r w:rsidRPr="00D764F0">
        <w:pict w14:anchorId="5E475967">
          <v:rect id="_x0000_i1059" style="width:0;height:1.5pt" o:hralign="center" o:hrstd="t" o:hr="t" fillcolor="#a0a0a0" stroked="f"/>
        </w:pict>
      </w:r>
    </w:p>
    <w:p w14:paraId="5FDC2970" w14:textId="77777777" w:rsidR="00D764F0" w:rsidRPr="00D764F0" w:rsidRDefault="00D764F0" w:rsidP="00D764F0">
      <w:pPr>
        <w:rPr>
          <w:b/>
          <w:bCs/>
        </w:rPr>
      </w:pPr>
      <w:r w:rsidRPr="00D764F0">
        <w:rPr>
          <w:b/>
          <w:bCs/>
        </w:rPr>
        <w:t>Supuestos, Riesgos o Consideraciones Relevantes</w:t>
      </w:r>
    </w:p>
    <w:p w14:paraId="1C2E9970" w14:textId="77777777" w:rsidR="00D764F0" w:rsidRPr="00D764F0" w:rsidRDefault="00D764F0" w:rsidP="00D764F0">
      <w:pPr>
        <w:numPr>
          <w:ilvl w:val="0"/>
          <w:numId w:val="6"/>
        </w:numPr>
      </w:pPr>
      <w:r w:rsidRPr="00D764F0">
        <w:rPr>
          <w:b/>
          <w:bCs/>
        </w:rPr>
        <w:t>Supuesto de Cobertura:</w:t>
      </w:r>
      <w:r w:rsidRPr="00D764F0">
        <w:t xml:space="preserve"> Se asume que el número de emergencia proporcionado (800 206 206) tiene disponibilidad 24/7 para el bloqueo de tarjetas.</w:t>
      </w:r>
    </w:p>
    <w:p w14:paraId="42C118CE" w14:textId="77777777" w:rsidR="00D764F0" w:rsidRPr="00D764F0" w:rsidRDefault="00D764F0" w:rsidP="00D764F0">
      <w:pPr>
        <w:numPr>
          <w:ilvl w:val="0"/>
          <w:numId w:val="6"/>
        </w:numPr>
      </w:pPr>
      <w:r w:rsidRPr="00D764F0">
        <w:rPr>
          <w:b/>
          <w:bCs/>
        </w:rPr>
        <w:t>Riesgo de Manipulación (</w:t>
      </w:r>
      <w:proofErr w:type="spellStart"/>
      <w:r w:rsidRPr="00D764F0">
        <w:rPr>
          <w:b/>
          <w:bCs/>
        </w:rPr>
        <w:t>Skimming</w:t>
      </w:r>
      <w:proofErr w:type="spellEnd"/>
      <w:r w:rsidRPr="00D764F0">
        <w:rPr>
          <w:b/>
          <w:bCs/>
        </w:rPr>
        <w:t>):</w:t>
      </w:r>
      <w:r w:rsidRPr="00D764F0">
        <w:t xml:space="preserve"> La recomendación de revisar el estado del cajero apunta a mitigar el riesgo de dispositivos de clonación de bandas magnéticas o chips.</w:t>
      </w:r>
    </w:p>
    <w:p w14:paraId="04E17CBE" w14:textId="77777777" w:rsidR="00D764F0" w:rsidRPr="00D764F0" w:rsidRDefault="00D764F0" w:rsidP="00D764F0">
      <w:pPr>
        <w:numPr>
          <w:ilvl w:val="0"/>
          <w:numId w:val="6"/>
        </w:numPr>
      </w:pPr>
      <w:r w:rsidRPr="00D764F0">
        <w:rPr>
          <w:b/>
          <w:bCs/>
        </w:rPr>
        <w:t>Dependencia Tecnológica:</w:t>
      </w:r>
      <w:r w:rsidRPr="00D764F0">
        <w:t xml:space="preserve"> La operación exitosa depende de la estabilidad de la conexión entre las redes nacionales e internacionales en el momento de la transacción.</w:t>
      </w:r>
    </w:p>
    <w:p w14:paraId="5E081625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7E8"/>
    <w:multiLevelType w:val="multilevel"/>
    <w:tmpl w:val="CB7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A6502"/>
    <w:multiLevelType w:val="multilevel"/>
    <w:tmpl w:val="A0C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85134"/>
    <w:multiLevelType w:val="multilevel"/>
    <w:tmpl w:val="229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039FE"/>
    <w:multiLevelType w:val="multilevel"/>
    <w:tmpl w:val="2702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833A50"/>
    <w:multiLevelType w:val="multilevel"/>
    <w:tmpl w:val="A85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516C8"/>
    <w:multiLevelType w:val="multilevel"/>
    <w:tmpl w:val="6B34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02225">
    <w:abstractNumId w:val="5"/>
  </w:num>
  <w:num w:numId="2" w16cid:durableId="1897005766">
    <w:abstractNumId w:val="3"/>
  </w:num>
  <w:num w:numId="3" w16cid:durableId="1252616950">
    <w:abstractNumId w:val="1"/>
  </w:num>
  <w:num w:numId="4" w16cid:durableId="1662849728">
    <w:abstractNumId w:val="2"/>
  </w:num>
  <w:num w:numId="5" w16cid:durableId="1209105088">
    <w:abstractNumId w:val="0"/>
  </w:num>
  <w:num w:numId="6" w16cid:durableId="880440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B0"/>
    <w:rsid w:val="00071C90"/>
    <w:rsid w:val="000D1EDE"/>
    <w:rsid w:val="00320D26"/>
    <w:rsid w:val="00414AB1"/>
    <w:rsid w:val="004563B0"/>
    <w:rsid w:val="006473F9"/>
    <w:rsid w:val="00736F93"/>
    <w:rsid w:val="00D764F0"/>
    <w:rsid w:val="00EE6913"/>
    <w:rsid w:val="00EE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7DB48"/>
  <w15:chartTrackingRefBased/>
  <w15:docId w15:val="{4A586CC4-FD7F-4745-896F-D6A0EAAB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3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3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3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3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3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3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672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3</cp:revision>
  <dcterms:created xsi:type="dcterms:W3CDTF">2026-05-06T18:32:00Z</dcterms:created>
  <dcterms:modified xsi:type="dcterms:W3CDTF">2026-05-06T18:33:00Z</dcterms:modified>
</cp:coreProperties>
</file>