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80C43" w14:textId="2A002AEE" w:rsidR="00427174" w:rsidRPr="00427174" w:rsidRDefault="00427174" w:rsidP="00427174">
      <w:pPr>
        <w:rPr>
          <w:b/>
          <w:bCs/>
        </w:rPr>
      </w:pPr>
      <w:r>
        <w:rPr>
          <w:b/>
          <w:bCs/>
        </w:rPr>
        <w:t xml:space="preserve">Nombre del documento: </w:t>
      </w:r>
      <w:r>
        <w:t xml:space="preserve">Tarjetas de </w:t>
      </w:r>
      <w:proofErr w:type="spellStart"/>
      <w:r>
        <w:t>debito</w:t>
      </w:r>
      <w:proofErr w:type="spellEnd"/>
      <w:r>
        <w:rPr>
          <w:b/>
          <w:bCs/>
        </w:rPr>
        <w:br/>
      </w:r>
      <w:r w:rsidRPr="00427174">
        <w:rPr>
          <w:b/>
          <w:bCs/>
        </w:rPr>
        <w:t>Resumen Ejecutivo</w:t>
      </w:r>
    </w:p>
    <w:p w14:paraId="177B1612" w14:textId="77777777" w:rsidR="00427174" w:rsidRPr="00427174" w:rsidRDefault="00427174" w:rsidP="00427174">
      <w:r w:rsidRPr="00427174">
        <w:t>La tarjeta de débito es un instrumento financiero de pago electrónico que permite la disposición inmediata de fondos propios previamente depositados en una institución financiera. Su operatividad se fundamenta en la existencia de un saldo positivo en una cuenta vinculada, actuando como un mecanismo de transferencia de valor en tiempo real entre el pagador y el beneficiario. A diferencia del crédito, la capacidad de ejecución transaccional está limitada estrictamente por la liquidez disponible del titular.</w:t>
      </w:r>
    </w:p>
    <w:p w14:paraId="680A7F10" w14:textId="77777777" w:rsidR="00427174" w:rsidRPr="00427174" w:rsidRDefault="00000000" w:rsidP="00427174">
      <w:r>
        <w:pict w14:anchorId="3DFDE4E4">
          <v:rect id="_x0000_i1025" style="width:0;height:1.5pt" o:hralign="center" o:hrstd="t" o:hr="t" fillcolor="#a0a0a0" stroked="f"/>
        </w:pict>
      </w:r>
    </w:p>
    <w:p w14:paraId="75B9706F" w14:textId="77777777" w:rsidR="00427174" w:rsidRPr="00427174" w:rsidRDefault="00427174" w:rsidP="00427174">
      <w:pPr>
        <w:rPr>
          <w:b/>
          <w:bCs/>
        </w:rPr>
      </w:pPr>
      <w:r w:rsidRPr="00427174">
        <w:rPr>
          <w:b/>
          <w:bCs/>
        </w:rPr>
        <w:t>Contexto y Propósito del Documento</w:t>
      </w:r>
    </w:p>
    <w:p w14:paraId="661B5A8B" w14:textId="77777777" w:rsidR="00427174" w:rsidRPr="00427174" w:rsidRDefault="00427174" w:rsidP="00427174">
      <w:r w:rsidRPr="00427174">
        <w:t>Este documento describe el ecosistema funcional de la tarjeta de débito, detallando los requisitos de vinculación, el protocolo de validación en el punto de venta y el proceso de liquidación de fondos. Su objetivo es clarificar el flujo transaccional para asegurar un uso correcto y un control efectivo de las finanzas personales.</w:t>
      </w:r>
    </w:p>
    <w:p w14:paraId="426D6907" w14:textId="77777777" w:rsidR="00427174" w:rsidRPr="00427174" w:rsidRDefault="00000000" w:rsidP="00427174">
      <w:r>
        <w:pict w14:anchorId="5042E747">
          <v:rect id="_x0000_i1026" style="width:0;height:1.5pt" o:hralign="center" o:hrstd="t" o:hr="t" fillcolor="#a0a0a0" stroked="f"/>
        </w:pict>
      </w:r>
    </w:p>
    <w:p w14:paraId="7A6305E9" w14:textId="77777777" w:rsidR="00427174" w:rsidRPr="00427174" w:rsidRDefault="00427174" w:rsidP="00427174">
      <w:pPr>
        <w:rPr>
          <w:b/>
          <w:bCs/>
        </w:rPr>
      </w:pPr>
      <w:r w:rsidRPr="00427174">
        <w:rPr>
          <w:b/>
          <w:bCs/>
        </w:rPr>
        <w:t>Desarrollo del Contenido</w:t>
      </w:r>
    </w:p>
    <w:p w14:paraId="43E6A9B7" w14:textId="77777777" w:rsidR="00427174" w:rsidRPr="00427174" w:rsidRDefault="00427174" w:rsidP="00427174">
      <w:pPr>
        <w:rPr>
          <w:b/>
          <w:bCs/>
        </w:rPr>
      </w:pPr>
      <w:r w:rsidRPr="00427174">
        <w:rPr>
          <w:b/>
          <w:bCs/>
        </w:rPr>
        <w:t>Sección 1: Estructura y Vinculación de Cuentas</w:t>
      </w:r>
    </w:p>
    <w:p w14:paraId="0309A4E1" w14:textId="77777777" w:rsidR="00427174" w:rsidRPr="00427174" w:rsidRDefault="00427174" w:rsidP="00427174">
      <w:r w:rsidRPr="00427174">
        <w:t>La tarjeta de débito no posee valor autónomo; es un vehículo de acceso a fondos alojados en productos financieros específicos. Puede estar asociada a:</w:t>
      </w:r>
    </w:p>
    <w:p w14:paraId="24070596" w14:textId="77777777" w:rsidR="00427174" w:rsidRPr="00427174" w:rsidRDefault="00427174" w:rsidP="00427174">
      <w:pPr>
        <w:numPr>
          <w:ilvl w:val="0"/>
          <w:numId w:val="1"/>
        </w:numPr>
      </w:pPr>
      <w:r w:rsidRPr="00427174">
        <w:rPr>
          <w:b/>
          <w:bCs/>
        </w:rPr>
        <w:t>Cuentas Corrientes Bancarias.</w:t>
      </w:r>
    </w:p>
    <w:p w14:paraId="3C6E07AA" w14:textId="77777777" w:rsidR="00427174" w:rsidRPr="00427174" w:rsidRDefault="00427174" w:rsidP="00427174">
      <w:pPr>
        <w:numPr>
          <w:ilvl w:val="0"/>
          <w:numId w:val="1"/>
        </w:numPr>
      </w:pPr>
      <w:r w:rsidRPr="00427174">
        <w:rPr>
          <w:b/>
          <w:bCs/>
        </w:rPr>
        <w:t>Cuentas de Ahorro a la Vista.</w:t>
      </w:r>
    </w:p>
    <w:p w14:paraId="6428C9C4" w14:textId="77777777" w:rsidR="00427174" w:rsidRPr="00427174" w:rsidRDefault="00427174" w:rsidP="00427174">
      <w:pPr>
        <w:numPr>
          <w:ilvl w:val="0"/>
          <w:numId w:val="1"/>
        </w:numPr>
      </w:pPr>
      <w:r w:rsidRPr="00427174">
        <w:rPr>
          <w:b/>
          <w:bCs/>
        </w:rPr>
        <w:t>Otras modalidades de Cuentas a la Vista.</w:t>
      </w:r>
    </w:p>
    <w:p w14:paraId="0BD14936" w14:textId="77777777" w:rsidR="00427174" w:rsidRPr="00427174" w:rsidRDefault="00427174" w:rsidP="00427174">
      <w:r w:rsidRPr="00427174">
        <w:t>La característica principal es que la institución financiera solo autoriza la transacción si el saldo en la cuenta asociada es igual o superior al monto solicitado en el punto de venta.</w:t>
      </w:r>
    </w:p>
    <w:p w14:paraId="76F24A65" w14:textId="77777777" w:rsidR="00427174" w:rsidRPr="00427174" w:rsidRDefault="00427174" w:rsidP="00427174">
      <w:pPr>
        <w:rPr>
          <w:b/>
          <w:bCs/>
        </w:rPr>
      </w:pPr>
      <w:r w:rsidRPr="00427174">
        <w:rPr>
          <w:b/>
          <w:bCs/>
        </w:rPr>
        <w:t>Sección 2: Protocolo de Transacción en el Punto de Venta</w:t>
      </w:r>
    </w:p>
    <w:p w14:paraId="481D0438" w14:textId="77777777" w:rsidR="00427174" w:rsidRPr="00427174" w:rsidRDefault="00427174" w:rsidP="00427174">
      <w:r w:rsidRPr="00427174">
        <w:t>El proceso de pago sigue un flujo secuencial de verificación y autorización:</w:t>
      </w:r>
    </w:p>
    <w:p w14:paraId="1C37B82E" w14:textId="77777777" w:rsidR="00427174" w:rsidRPr="00427174" w:rsidRDefault="00427174" w:rsidP="00427174">
      <w:pPr>
        <w:numPr>
          <w:ilvl w:val="0"/>
          <w:numId w:val="2"/>
        </w:numPr>
      </w:pPr>
      <w:r w:rsidRPr="00427174">
        <w:rPr>
          <w:b/>
          <w:bCs/>
        </w:rPr>
        <w:t>Presentación e Interacción:</w:t>
      </w:r>
      <w:r w:rsidRPr="00427174">
        <w:t xml:space="preserve"> Se introduce la tarjeta en el dispositivo electrónico (terminal de punto de venta).</w:t>
      </w:r>
    </w:p>
    <w:p w14:paraId="20A17C67" w14:textId="77777777" w:rsidR="00427174" w:rsidRPr="00427174" w:rsidRDefault="00427174" w:rsidP="00427174">
      <w:pPr>
        <w:numPr>
          <w:ilvl w:val="0"/>
          <w:numId w:val="2"/>
        </w:numPr>
      </w:pPr>
      <w:r w:rsidRPr="00427174">
        <w:rPr>
          <w:b/>
          <w:bCs/>
        </w:rPr>
        <w:lastRenderedPageBreak/>
        <w:t>Validación de Monto:</w:t>
      </w:r>
      <w:r w:rsidRPr="00427174">
        <w:t xml:space="preserve"> El usuario revisa y acepta el monto de la compra indicado en el dispositivo.</w:t>
      </w:r>
    </w:p>
    <w:p w14:paraId="6E2E3E07" w14:textId="77777777" w:rsidR="00427174" w:rsidRPr="00427174" w:rsidRDefault="00427174" w:rsidP="00427174">
      <w:pPr>
        <w:numPr>
          <w:ilvl w:val="0"/>
          <w:numId w:val="2"/>
        </w:numPr>
      </w:pPr>
      <w:r w:rsidRPr="00427174">
        <w:rPr>
          <w:b/>
          <w:bCs/>
        </w:rPr>
        <w:t>Autorización mediante Clave:</w:t>
      </w:r>
      <w:r w:rsidRPr="00427174">
        <w:t xml:space="preserve"> El titular ingresa su clave personal (PIN), lo que constituye la aceptación formal del cargo.</w:t>
      </w:r>
    </w:p>
    <w:p w14:paraId="7F0E7EBC" w14:textId="77777777" w:rsidR="00427174" w:rsidRPr="00427174" w:rsidRDefault="00427174" w:rsidP="00427174">
      <w:pPr>
        <w:numPr>
          <w:ilvl w:val="0"/>
          <w:numId w:val="2"/>
        </w:numPr>
      </w:pPr>
      <w:r w:rsidRPr="00427174">
        <w:rPr>
          <w:b/>
          <w:bCs/>
        </w:rPr>
        <w:t>Verificación de Fondos:</w:t>
      </w:r>
      <w:r w:rsidRPr="00427174">
        <w:t xml:space="preserve"> El sistema consulta en tiempo real la disponibilidad de dinero en la cuenta del emisor.</w:t>
      </w:r>
    </w:p>
    <w:p w14:paraId="6A20FD96" w14:textId="77777777" w:rsidR="00427174" w:rsidRPr="00427174" w:rsidRDefault="00427174" w:rsidP="00427174">
      <w:pPr>
        <w:numPr>
          <w:ilvl w:val="0"/>
          <w:numId w:val="2"/>
        </w:numPr>
      </w:pPr>
      <w:r w:rsidRPr="00427174">
        <w:rPr>
          <w:b/>
          <w:bCs/>
        </w:rPr>
        <w:t>Confirmación y Registro:</w:t>
      </w:r>
      <w:r w:rsidRPr="00427174">
        <w:t xml:space="preserve"> Una vez verificados los fondos, se aprueba la transacción y se emite un comprobante de pago.</w:t>
      </w:r>
    </w:p>
    <w:p w14:paraId="0EAD571C" w14:textId="3F79CACC" w:rsidR="00427174" w:rsidRPr="00427174" w:rsidRDefault="00427174" w:rsidP="00427174"/>
    <w:p w14:paraId="5C2AC000" w14:textId="77777777" w:rsidR="00427174" w:rsidRPr="00427174" w:rsidRDefault="00427174" w:rsidP="00427174">
      <w:pPr>
        <w:rPr>
          <w:b/>
          <w:bCs/>
        </w:rPr>
      </w:pPr>
      <w:r w:rsidRPr="00427174">
        <w:rPr>
          <w:b/>
          <w:bCs/>
        </w:rPr>
        <w:t>Sección 3: Liquidación y Post-Transacción</w:t>
      </w:r>
    </w:p>
    <w:p w14:paraId="6F149C02" w14:textId="77777777" w:rsidR="00427174" w:rsidRPr="00427174" w:rsidRDefault="00427174" w:rsidP="00427174">
      <w:r w:rsidRPr="00427174">
        <w:t>Una vez finalizada la operación, el sistema financiero ejecuta el movimiento contable:</w:t>
      </w:r>
    </w:p>
    <w:p w14:paraId="04B1FB08" w14:textId="77777777" w:rsidR="00427174" w:rsidRPr="00427174" w:rsidRDefault="00427174" w:rsidP="00427174">
      <w:pPr>
        <w:numPr>
          <w:ilvl w:val="0"/>
          <w:numId w:val="3"/>
        </w:numPr>
      </w:pPr>
      <w:r w:rsidRPr="00427174">
        <w:rPr>
          <w:b/>
          <w:bCs/>
        </w:rPr>
        <w:t>Débito:</w:t>
      </w:r>
      <w:r w:rsidRPr="00427174">
        <w:t xml:space="preserve"> El monto es restado de la cuenta del pagador de forma inmediata.</w:t>
      </w:r>
    </w:p>
    <w:p w14:paraId="3AF81096" w14:textId="77777777" w:rsidR="00427174" w:rsidRPr="00427174" w:rsidRDefault="00427174" w:rsidP="00427174">
      <w:pPr>
        <w:numPr>
          <w:ilvl w:val="0"/>
          <w:numId w:val="3"/>
        </w:numPr>
      </w:pPr>
      <w:r w:rsidRPr="00427174">
        <w:rPr>
          <w:b/>
          <w:bCs/>
        </w:rPr>
        <w:t>Crédito:</w:t>
      </w:r>
      <w:r w:rsidRPr="00427174">
        <w:t xml:space="preserve"> El monto es sumado a la cuenta del beneficiario (comercio o prestador de servicios).</w:t>
      </w:r>
    </w:p>
    <w:p w14:paraId="59A12A8D" w14:textId="77777777" w:rsidR="00427174" w:rsidRDefault="00427174" w:rsidP="00427174">
      <w:pPr>
        <w:numPr>
          <w:ilvl w:val="0"/>
          <w:numId w:val="3"/>
        </w:numPr>
      </w:pPr>
      <w:r w:rsidRPr="00427174">
        <w:rPr>
          <w:b/>
          <w:bCs/>
        </w:rPr>
        <w:t>Control de Usuario:</w:t>
      </w:r>
      <w:r w:rsidRPr="00427174">
        <w:t xml:space="preserve"> El titular recibe un comprobante físico o digital que debe ser utilizado para la conciliación bancaria contra el </w:t>
      </w:r>
      <w:r w:rsidRPr="00427174">
        <w:rPr>
          <w:b/>
          <w:bCs/>
        </w:rPr>
        <w:t>Estado de Cuenta</w:t>
      </w:r>
      <w:r w:rsidRPr="00427174">
        <w:t xml:space="preserve"> oficial emitido por la institución.</w:t>
      </w:r>
    </w:p>
    <w:p w14:paraId="61A7C457" w14:textId="77777777" w:rsidR="005D1E57" w:rsidRPr="005D1E57" w:rsidRDefault="005D1E57" w:rsidP="005D1E57">
      <w:pPr>
        <w:rPr>
          <w:b/>
          <w:bCs/>
        </w:rPr>
      </w:pPr>
      <w:r w:rsidRPr="005D1E57">
        <w:rPr>
          <w:b/>
          <w:bCs/>
        </w:rPr>
        <w:t xml:space="preserve">Extra: </w:t>
      </w:r>
      <w:r w:rsidRPr="005D1E57">
        <w:rPr>
          <w:b/>
          <w:bCs/>
        </w:rPr>
        <w:t>Protocolo de Bloqueo y Seguridad Digital</w:t>
      </w:r>
    </w:p>
    <w:p w14:paraId="7C243A82" w14:textId="77777777" w:rsidR="005D1E57" w:rsidRPr="005D1E57" w:rsidRDefault="005D1E57" w:rsidP="005D1E57">
      <w:r w:rsidRPr="005D1E57">
        <w:t xml:space="preserve">Ante la pérdida, hurto o fraude de la tarjeta de débito asociada al sueldo, el usuario debe conocer sus derechos según la </w:t>
      </w:r>
      <w:r w:rsidRPr="005D1E57">
        <w:rPr>
          <w:b/>
          <w:bCs/>
        </w:rPr>
        <w:t xml:space="preserve">Ley de Fraudes (Ley </w:t>
      </w:r>
      <w:proofErr w:type="spellStart"/>
      <w:r w:rsidRPr="005D1E57">
        <w:rPr>
          <w:b/>
          <w:bCs/>
        </w:rPr>
        <w:t>N°</w:t>
      </w:r>
      <w:proofErr w:type="spellEnd"/>
      <w:r w:rsidRPr="005D1E57">
        <w:rPr>
          <w:b/>
          <w:bCs/>
        </w:rPr>
        <w:t xml:space="preserve"> 21.234)</w:t>
      </w:r>
      <w:r w:rsidRPr="005D1E57">
        <w:t>:</w:t>
      </w:r>
    </w:p>
    <w:p w14:paraId="14E58590" w14:textId="77777777" w:rsidR="005D1E57" w:rsidRPr="005D1E57" w:rsidRDefault="005D1E57" w:rsidP="005D1E57">
      <w:pPr>
        <w:numPr>
          <w:ilvl w:val="0"/>
          <w:numId w:val="7"/>
        </w:numPr>
      </w:pPr>
      <w:r w:rsidRPr="005D1E57">
        <w:rPr>
          <w:b/>
          <w:bCs/>
        </w:rPr>
        <w:t>Responsabilidad:</w:t>
      </w:r>
      <w:r w:rsidRPr="005D1E57">
        <w:t xml:space="preserve"> El usuario debe dar aviso inmediato a la institución emisora por los canales habilitados (disponibles 24/7).</w:t>
      </w:r>
    </w:p>
    <w:p w14:paraId="4441B45D" w14:textId="77777777" w:rsidR="005D1E57" w:rsidRPr="005D1E57" w:rsidRDefault="005D1E57" w:rsidP="005D1E57">
      <w:pPr>
        <w:numPr>
          <w:ilvl w:val="0"/>
          <w:numId w:val="7"/>
        </w:numPr>
      </w:pPr>
      <w:r w:rsidRPr="005D1E57">
        <w:rPr>
          <w:b/>
          <w:bCs/>
        </w:rPr>
        <w:t>Plazos:</w:t>
      </w:r>
      <w:r w:rsidRPr="005D1E57">
        <w:t xml:space="preserve"> Una vez realizado el aviso, el usuario queda exento de responsabilidad por las operaciones realizadas con posterioridad. Para operaciones desconocidas previas al aviso, el banco debe cancelar los cargos o restituir los fondos en un plazo máximo de 5 días hábiles si el monto es inferior a 35 UF.</w:t>
      </w:r>
    </w:p>
    <w:p w14:paraId="4D96C296" w14:textId="27B11F77" w:rsidR="005D1E57" w:rsidRPr="00427174" w:rsidRDefault="005D1E57" w:rsidP="005D1E57"/>
    <w:p w14:paraId="16EA37D2" w14:textId="77777777" w:rsidR="00427174" w:rsidRPr="00427174" w:rsidRDefault="00000000" w:rsidP="00427174">
      <w:r>
        <w:pict w14:anchorId="327E92D1">
          <v:rect id="_x0000_i1027" style="width:0;height:1.5pt" o:hralign="center" o:hrstd="t" o:hr="t" fillcolor="#a0a0a0" stroked="f"/>
        </w:pict>
      </w:r>
    </w:p>
    <w:p w14:paraId="326C298A" w14:textId="77777777" w:rsidR="00427174" w:rsidRPr="00427174" w:rsidRDefault="00427174" w:rsidP="00427174">
      <w:pPr>
        <w:rPr>
          <w:b/>
          <w:bCs/>
        </w:rPr>
      </w:pPr>
      <w:r w:rsidRPr="00427174">
        <w:rPr>
          <w:b/>
          <w:bCs/>
        </w:rPr>
        <w:t>Conceptos Financieros Clave</w:t>
      </w:r>
    </w:p>
    <w:p w14:paraId="7A825A16" w14:textId="77777777" w:rsidR="00427174" w:rsidRPr="00427174" w:rsidRDefault="00427174" w:rsidP="00427174">
      <w:pPr>
        <w:numPr>
          <w:ilvl w:val="0"/>
          <w:numId w:val="4"/>
        </w:numPr>
      </w:pPr>
      <w:r w:rsidRPr="00427174">
        <w:rPr>
          <w:b/>
          <w:bCs/>
        </w:rPr>
        <w:lastRenderedPageBreak/>
        <w:t>Tarjeta de Débito:</w:t>
      </w:r>
      <w:r w:rsidRPr="00427174">
        <w:t xml:space="preserve"> Instrumento plástico o digital de pago con cargo directo a fondos propios.</w:t>
      </w:r>
    </w:p>
    <w:p w14:paraId="75C6FEB7" w14:textId="77777777" w:rsidR="00427174" w:rsidRPr="00427174" w:rsidRDefault="00427174" w:rsidP="00427174">
      <w:pPr>
        <w:numPr>
          <w:ilvl w:val="0"/>
          <w:numId w:val="4"/>
        </w:numPr>
      </w:pPr>
      <w:r w:rsidRPr="00427174">
        <w:rPr>
          <w:b/>
          <w:bCs/>
        </w:rPr>
        <w:t>Disponibilidad de Fondos:</w:t>
      </w:r>
      <w:r w:rsidRPr="00427174">
        <w:t xml:space="preserve"> Condición necesaria (saldo suficiente) para la aprobación de transacciones.</w:t>
      </w:r>
    </w:p>
    <w:p w14:paraId="6E26B514" w14:textId="77777777" w:rsidR="00427174" w:rsidRPr="00427174" w:rsidRDefault="00427174" w:rsidP="00427174">
      <w:pPr>
        <w:numPr>
          <w:ilvl w:val="0"/>
          <w:numId w:val="4"/>
        </w:numPr>
      </w:pPr>
      <w:r w:rsidRPr="00427174">
        <w:rPr>
          <w:b/>
          <w:bCs/>
        </w:rPr>
        <w:t>Clave de Seguridad (PIN):</w:t>
      </w:r>
      <w:r w:rsidRPr="00427174">
        <w:t xml:space="preserve"> Mecanismo de autenticación que valida la voluntad del titular de realizar el gasto.</w:t>
      </w:r>
    </w:p>
    <w:p w14:paraId="5DFDB12E" w14:textId="77777777" w:rsidR="00427174" w:rsidRPr="00427174" w:rsidRDefault="00427174" w:rsidP="00427174">
      <w:pPr>
        <w:numPr>
          <w:ilvl w:val="0"/>
          <w:numId w:val="4"/>
        </w:numPr>
      </w:pPr>
      <w:r w:rsidRPr="00427174">
        <w:rPr>
          <w:b/>
          <w:bCs/>
        </w:rPr>
        <w:t>Estado de Cuenta:</w:t>
      </w:r>
      <w:r w:rsidRPr="00427174">
        <w:t xml:space="preserve"> Documento oficial donde se registran todos los movimientos (cargos y abonos) realizados en un periodo determinado.</w:t>
      </w:r>
    </w:p>
    <w:p w14:paraId="688327B9" w14:textId="77777777" w:rsidR="00427174" w:rsidRPr="00427174" w:rsidRDefault="00427174" w:rsidP="00427174">
      <w:pPr>
        <w:numPr>
          <w:ilvl w:val="0"/>
          <w:numId w:val="4"/>
        </w:numPr>
      </w:pPr>
      <w:r w:rsidRPr="00427174">
        <w:rPr>
          <w:b/>
          <w:bCs/>
        </w:rPr>
        <w:t>Liquidación de Fondos:</w:t>
      </w:r>
      <w:r w:rsidRPr="00427174">
        <w:t xml:space="preserve"> El proceso contable de traspasar el dinero de la cuenta del comprador a la del vendedor.</w:t>
      </w:r>
    </w:p>
    <w:p w14:paraId="0A97C146" w14:textId="77777777" w:rsidR="00427174" w:rsidRPr="00427174" w:rsidRDefault="00000000" w:rsidP="00427174">
      <w:r>
        <w:pict w14:anchorId="3CD3267B">
          <v:rect id="_x0000_i1028" style="width:0;height:1.5pt" o:hralign="center" o:hrstd="t" o:hr="t" fillcolor="#a0a0a0" stroked="f"/>
        </w:pict>
      </w:r>
    </w:p>
    <w:p w14:paraId="7ADE3E78" w14:textId="77777777" w:rsidR="00427174" w:rsidRPr="00427174" w:rsidRDefault="00427174" w:rsidP="00427174">
      <w:pPr>
        <w:rPr>
          <w:b/>
          <w:bCs/>
        </w:rPr>
      </w:pPr>
      <w:r w:rsidRPr="00427174">
        <w:rPr>
          <w:b/>
          <w:bCs/>
        </w:rPr>
        <w:t>Conclusiones / Ideas Principales</w:t>
      </w:r>
    </w:p>
    <w:p w14:paraId="3B0F6998" w14:textId="77777777" w:rsidR="00427174" w:rsidRPr="00427174" w:rsidRDefault="00427174" w:rsidP="00427174">
      <w:pPr>
        <w:numPr>
          <w:ilvl w:val="0"/>
          <w:numId w:val="5"/>
        </w:numPr>
      </w:pPr>
      <w:r w:rsidRPr="00427174">
        <w:t xml:space="preserve">La tarjeta de débito es una herramienta de </w:t>
      </w:r>
      <w:r w:rsidRPr="00427174">
        <w:rPr>
          <w:b/>
          <w:bCs/>
        </w:rPr>
        <w:t>gestión de liquidez inmediata</w:t>
      </w:r>
      <w:r w:rsidRPr="00427174">
        <w:t>, sin generación de deuda para el usuario.</w:t>
      </w:r>
    </w:p>
    <w:p w14:paraId="5952CA8D" w14:textId="77777777" w:rsidR="00427174" w:rsidRPr="00427174" w:rsidRDefault="00427174" w:rsidP="00427174">
      <w:pPr>
        <w:numPr>
          <w:ilvl w:val="0"/>
          <w:numId w:val="5"/>
        </w:numPr>
      </w:pPr>
      <w:r w:rsidRPr="00427174">
        <w:t>La seguridad de la transacción reside en la combinación de la posesión física (o digital) de la tarjeta y el conocimiento de la clave secreta.</w:t>
      </w:r>
    </w:p>
    <w:p w14:paraId="5831775C" w14:textId="77777777" w:rsidR="00427174" w:rsidRDefault="00427174" w:rsidP="00427174">
      <w:pPr>
        <w:numPr>
          <w:ilvl w:val="0"/>
          <w:numId w:val="5"/>
        </w:numPr>
      </w:pPr>
      <w:r w:rsidRPr="00427174">
        <w:t xml:space="preserve">El </w:t>
      </w:r>
      <w:r w:rsidRPr="00427174">
        <w:rPr>
          <w:b/>
          <w:bCs/>
        </w:rPr>
        <w:t>comprobante de pago</w:t>
      </w:r>
      <w:r w:rsidRPr="00427174">
        <w:t xml:space="preserve"> es el documento primario de respaldo ante posibles discrepancias o errores en los cargos bancarios.</w:t>
      </w:r>
    </w:p>
    <w:p w14:paraId="1D696F0D" w14:textId="1EC943FA" w:rsidR="00573A73" w:rsidRPr="00427174" w:rsidRDefault="00000000" w:rsidP="00573A73">
      <w:r>
        <w:pict w14:anchorId="36EC3565">
          <v:rect id="_x0000_i1029" style="width:0;height:1.5pt" o:hralign="center" o:hrstd="t" o:hr="t" fillcolor="#a0a0a0" stroked="f"/>
        </w:pict>
      </w:r>
    </w:p>
    <w:p w14:paraId="37B1A11B" w14:textId="77777777" w:rsidR="00573A73" w:rsidRPr="00573A73" w:rsidRDefault="00573A73" w:rsidP="00573A73">
      <w:pPr>
        <w:rPr>
          <w:b/>
          <w:bCs/>
        </w:rPr>
      </w:pPr>
      <w:r w:rsidRPr="00573A73">
        <w:rPr>
          <w:b/>
          <w:bCs/>
        </w:rPr>
        <w:t>Supuestos, Riesgos o Consideraciones Relevantes</w:t>
      </w:r>
    </w:p>
    <w:p w14:paraId="347E6BCA" w14:textId="77777777" w:rsidR="00573A73" w:rsidRPr="00573A73" w:rsidRDefault="00573A73" w:rsidP="00573A73">
      <w:pPr>
        <w:numPr>
          <w:ilvl w:val="0"/>
          <w:numId w:val="6"/>
        </w:numPr>
      </w:pPr>
      <w:r w:rsidRPr="00573A73">
        <w:rPr>
          <w:b/>
          <w:bCs/>
        </w:rPr>
        <w:t>Supuesto de Conectividad:</w:t>
      </w:r>
      <w:r w:rsidRPr="00573A73">
        <w:t xml:space="preserve"> La transacción depende de la disponibilidad de los sistemas de comunicación entre el comercio y la institución financiera para la verificación en tiempo real.</w:t>
      </w:r>
    </w:p>
    <w:p w14:paraId="70F9FC32" w14:textId="77777777" w:rsidR="00573A73" w:rsidRPr="00573A73" w:rsidRDefault="00573A73" w:rsidP="00573A73">
      <w:pPr>
        <w:numPr>
          <w:ilvl w:val="0"/>
          <w:numId w:val="6"/>
        </w:numPr>
      </w:pPr>
      <w:r w:rsidRPr="00573A73">
        <w:rPr>
          <w:b/>
          <w:bCs/>
        </w:rPr>
        <w:t>Riesgo de Seguridad:</w:t>
      </w:r>
      <w:r w:rsidRPr="00573A73">
        <w:t xml:space="preserve"> El uso de la tarjeta requiere el resguardo absoluto de la clave personal para evitar fraudes o cargos no autorizados.</w:t>
      </w:r>
    </w:p>
    <w:p w14:paraId="414D05DF" w14:textId="77777777" w:rsidR="00573A73" w:rsidRPr="00573A73" w:rsidRDefault="00573A73" w:rsidP="00573A73">
      <w:pPr>
        <w:numPr>
          <w:ilvl w:val="0"/>
          <w:numId w:val="6"/>
        </w:numPr>
      </w:pPr>
      <w:r w:rsidRPr="00573A73">
        <w:rPr>
          <w:b/>
          <w:bCs/>
        </w:rPr>
        <w:t>Consideración de Control:</w:t>
      </w:r>
      <w:r w:rsidRPr="00573A73">
        <w:t xml:space="preserve"> No existe la posibilidad de sobregiro bajo este modelo estándar (a menos que existan productos de crédito adicionales no mencionados en el texto).</w:t>
      </w:r>
    </w:p>
    <w:p w14:paraId="59D50A54"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E0B01"/>
    <w:multiLevelType w:val="multilevel"/>
    <w:tmpl w:val="ABC6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95701"/>
    <w:multiLevelType w:val="multilevel"/>
    <w:tmpl w:val="2390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0024F"/>
    <w:multiLevelType w:val="multilevel"/>
    <w:tmpl w:val="8342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F46ED4"/>
    <w:multiLevelType w:val="multilevel"/>
    <w:tmpl w:val="080E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BD6F22"/>
    <w:multiLevelType w:val="multilevel"/>
    <w:tmpl w:val="9B5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AA71B2"/>
    <w:multiLevelType w:val="multilevel"/>
    <w:tmpl w:val="2B5A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416689"/>
    <w:multiLevelType w:val="multilevel"/>
    <w:tmpl w:val="C0D0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893613">
    <w:abstractNumId w:val="2"/>
  </w:num>
  <w:num w:numId="2" w16cid:durableId="1441030517">
    <w:abstractNumId w:val="5"/>
  </w:num>
  <w:num w:numId="3" w16cid:durableId="1705208742">
    <w:abstractNumId w:val="1"/>
  </w:num>
  <w:num w:numId="4" w16cid:durableId="2025283889">
    <w:abstractNumId w:val="0"/>
  </w:num>
  <w:num w:numId="5" w16cid:durableId="513612509">
    <w:abstractNumId w:val="3"/>
  </w:num>
  <w:num w:numId="6" w16cid:durableId="879055816">
    <w:abstractNumId w:val="6"/>
  </w:num>
  <w:num w:numId="7" w16cid:durableId="1907985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342"/>
    <w:rsid w:val="00071C90"/>
    <w:rsid w:val="000D1EDE"/>
    <w:rsid w:val="00320D26"/>
    <w:rsid w:val="00370A9A"/>
    <w:rsid w:val="00414AB1"/>
    <w:rsid w:val="00427174"/>
    <w:rsid w:val="00573A73"/>
    <w:rsid w:val="005D1E57"/>
    <w:rsid w:val="006473F9"/>
    <w:rsid w:val="00736F93"/>
    <w:rsid w:val="00C94A7C"/>
    <w:rsid w:val="00E87C07"/>
    <w:rsid w:val="00F9034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5B2B5"/>
  <w15:chartTrackingRefBased/>
  <w15:docId w15:val="{00648ABC-6B6C-4C23-8795-5149F08D9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0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0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03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03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03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03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03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03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03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03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03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03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03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03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03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03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03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0342"/>
    <w:rPr>
      <w:rFonts w:eastAsiaTheme="majorEastAsia" w:cstheme="majorBidi"/>
      <w:color w:val="272727" w:themeColor="text1" w:themeTint="D8"/>
    </w:rPr>
  </w:style>
  <w:style w:type="paragraph" w:styleId="Ttulo">
    <w:name w:val="Title"/>
    <w:basedOn w:val="Normal"/>
    <w:next w:val="Normal"/>
    <w:link w:val="TtuloCar"/>
    <w:uiPriority w:val="10"/>
    <w:qFormat/>
    <w:rsid w:val="00F90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03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03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03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0342"/>
    <w:pPr>
      <w:spacing w:before="160"/>
      <w:jc w:val="center"/>
    </w:pPr>
    <w:rPr>
      <w:i/>
      <w:iCs/>
      <w:color w:val="404040" w:themeColor="text1" w:themeTint="BF"/>
    </w:rPr>
  </w:style>
  <w:style w:type="character" w:customStyle="1" w:styleId="CitaCar">
    <w:name w:val="Cita Car"/>
    <w:basedOn w:val="Fuentedeprrafopredeter"/>
    <w:link w:val="Cita"/>
    <w:uiPriority w:val="29"/>
    <w:rsid w:val="00F90342"/>
    <w:rPr>
      <w:i/>
      <w:iCs/>
      <w:color w:val="404040" w:themeColor="text1" w:themeTint="BF"/>
    </w:rPr>
  </w:style>
  <w:style w:type="paragraph" w:styleId="Prrafodelista">
    <w:name w:val="List Paragraph"/>
    <w:basedOn w:val="Normal"/>
    <w:uiPriority w:val="34"/>
    <w:qFormat/>
    <w:rsid w:val="00F90342"/>
    <w:pPr>
      <w:ind w:left="720"/>
      <w:contextualSpacing/>
    </w:pPr>
  </w:style>
  <w:style w:type="character" w:styleId="nfasisintenso">
    <w:name w:val="Intense Emphasis"/>
    <w:basedOn w:val="Fuentedeprrafopredeter"/>
    <w:uiPriority w:val="21"/>
    <w:qFormat/>
    <w:rsid w:val="00F90342"/>
    <w:rPr>
      <w:i/>
      <w:iCs/>
      <w:color w:val="0F4761" w:themeColor="accent1" w:themeShade="BF"/>
    </w:rPr>
  </w:style>
  <w:style w:type="paragraph" w:styleId="Citadestacada">
    <w:name w:val="Intense Quote"/>
    <w:basedOn w:val="Normal"/>
    <w:next w:val="Normal"/>
    <w:link w:val="CitadestacadaCar"/>
    <w:uiPriority w:val="30"/>
    <w:qFormat/>
    <w:rsid w:val="00F90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0342"/>
    <w:rPr>
      <w:i/>
      <w:iCs/>
      <w:color w:val="0F4761" w:themeColor="accent1" w:themeShade="BF"/>
    </w:rPr>
  </w:style>
  <w:style w:type="character" w:styleId="Referenciaintensa">
    <w:name w:val="Intense Reference"/>
    <w:basedOn w:val="Fuentedeprrafopredeter"/>
    <w:uiPriority w:val="32"/>
    <w:qFormat/>
    <w:rsid w:val="00F903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739</Words>
  <Characters>4069</Characters>
  <Application>Microsoft Office Word</Application>
  <DocSecurity>0</DocSecurity>
  <Lines>33</Lines>
  <Paragraphs>9</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4</cp:revision>
  <dcterms:created xsi:type="dcterms:W3CDTF">2026-05-06T18:27:00Z</dcterms:created>
  <dcterms:modified xsi:type="dcterms:W3CDTF">2026-05-06T18:59:00Z</dcterms:modified>
</cp:coreProperties>
</file>