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818BD" w14:textId="77777777" w:rsidR="0025641F" w:rsidRPr="0025641F" w:rsidRDefault="0025641F" w:rsidP="0025641F">
      <w:pPr>
        <w:rPr>
          <w:b/>
          <w:bCs/>
        </w:rPr>
      </w:pPr>
      <w:r w:rsidRPr="0025641F">
        <w:rPr>
          <w:b/>
          <w:bCs/>
        </w:rPr>
        <w:t>Resumen Ejecutivo</w:t>
      </w:r>
    </w:p>
    <w:p w14:paraId="4259E3FA" w14:textId="77777777" w:rsidR="0025641F" w:rsidRPr="0025641F" w:rsidRDefault="0025641F" w:rsidP="0025641F">
      <w:r w:rsidRPr="0025641F">
        <w:t>El presente decálogo constituye un marco de principios operativos diseñados para optimizar la toma de decisiones y mitigar riesgos en el mercado de valores. Se fundamenta en la premisa de que una inversión exitosa requiere una base financiera previa saludable, la aplicación de criterios técnicos por sobre rumores de mercado, y una gestión activa de la diversificación. El enfoque principal radica en la preservación del capital y la alineación constante entre el nivel de riesgo de la cartera y el perfil de tolerancia del inversionista.</w:t>
      </w:r>
    </w:p>
    <w:p w14:paraId="0D8BB515" w14:textId="77777777" w:rsidR="0025641F" w:rsidRPr="0025641F" w:rsidRDefault="0025641F" w:rsidP="0025641F">
      <w:r w:rsidRPr="0025641F">
        <w:pict w14:anchorId="0A991DB4">
          <v:rect id="_x0000_i1060" style="width:0;height:1.5pt" o:hralign="center" o:hrstd="t" o:hr="t" fillcolor="#a0a0a0" stroked="f"/>
        </w:pict>
      </w:r>
    </w:p>
    <w:p w14:paraId="43AE9024" w14:textId="77777777" w:rsidR="0025641F" w:rsidRPr="0025641F" w:rsidRDefault="0025641F" w:rsidP="0025641F">
      <w:pPr>
        <w:rPr>
          <w:b/>
          <w:bCs/>
        </w:rPr>
      </w:pPr>
      <w:r w:rsidRPr="0025641F">
        <w:rPr>
          <w:b/>
          <w:bCs/>
        </w:rPr>
        <w:t>Contexto y Propósito del Documento</w:t>
      </w:r>
    </w:p>
    <w:p w14:paraId="1ADC80AF" w14:textId="77777777" w:rsidR="0025641F" w:rsidRPr="0025641F" w:rsidRDefault="0025641F" w:rsidP="0025641F">
      <w:r w:rsidRPr="0025641F">
        <w:t>Este documento sistematiza las mejores prácticas para el manejo de inversiones en el mercado formal. Su propósito es proporcionar al inversionista una estructura de control que abarque desde la evaluación de la rentabilidad real (considerando costos de intermediación) hasta la gestión psicológica y técnica de las salidas del mercado.</w:t>
      </w:r>
    </w:p>
    <w:p w14:paraId="1841779E" w14:textId="77777777" w:rsidR="0025641F" w:rsidRPr="0025641F" w:rsidRDefault="0025641F" w:rsidP="0025641F">
      <w:r w:rsidRPr="0025641F">
        <w:pict w14:anchorId="2F15327F">
          <v:rect id="_x0000_i1061" style="width:0;height:1.5pt" o:hralign="center" o:hrstd="t" o:hr="t" fillcolor="#a0a0a0" stroked="f"/>
        </w:pict>
      </w:r>
    </w:p>
    <w:p w14:paraId="2296AB29" w14:textId="77777777" w:rsidR="0025641F" w:rsidRPr="0025641F" w:rsidRDefault="0025641F" w:rsidP="0025641F">
      <w:pPr>
        <w:rPr>
          <w:b/>
          <w:bCs/>
        </w:rPr>
      </w:pPr>
      <w:r w:rsidRPr="0025641F">
        <w:rPr>
          <w:b/>
          <w:bCs/>
        </w:rPr>
        <w:t>Desarrollo del Contenido</w:t>
      </w:r>
    </w:p>
    <w:p w14:paraId="093117AB" w14:textId="77777777" w:rsidR="0025641F" w:rsidRPr="0025641F" w:rsidRDefault="0025641F" w:rsidP="0025641F">
      <w:pPr>
        <w:rPr>
          <w:b/>
          <w:bCs/>
        </w:rPr>
      </w:pPr>
      <w:r w:rsidRPr="0025641F">
        <w:rPr>
          <w:b/>
          <w:bCs/>
        </w:rPr>
        <w:t>Sección 1: Fundamentos de Sanidad y Análisis Técnico</w:t>
      </w:r>
    </w:p>
    <w:p w14:paraId="3B65B172" w14:textId="77777777" w:rsidR="0025641F" w:rsidRPr="0025641F" w:rsidRDefault="0025641F" w:rsidP="0025641F">
      <w:r w:rsidRPr="0025641F">
        <w:t>Antes de ejecutar una inversión, se deben cumplir condiciones mínimas de viabilidad financiera:</w:t>
      </w:r>
    </w:p>
    <w:p w14:paraId="47553057" w14:textId="77777777" w:rsidR="0025641F" w:rsidRPr="0025641F" w:rsidRDefault="0025641F" w:rsidP="0025641F">
      <w:pPr>
        <w:numPr>
          <w:ilvl w:val="0"/>
          <w:numId w:val="1"/>
        </w:numPr>
      </w:pPr>
      <w:r w:rsidRPr="0025641F">
        <w:rPr>
          <w:b/>
          <w:bCs/>
        </w:rPr>
        <w:t>Priorización de Pasivos:</w:t>
      </w:r>
      <w:r w:rsidRPr="0025641F">
        <w:t xml:space="preserve"> No es recomendable invertir si el costo financiero de las deudas vigentes (intereses cobrados) supera el retorno proyectado de la inversión. Se requiere una base financiera sana.</w:t>
      </w:r>
    </w:p>
    <w:p w14:paraId="2A2C4FD9" w14:textId="77777777" w:rsidR="0025641F" w:rsidRPr="0025641F" w:rsidRDefault="0025641F" w:rsidP="0025641F">
      <w:pPr>
        <w:numPr>
          <w:ilvl w:val="0"/>
          <w:numId w:val="1"/>
        </w:numPr>
      </w:pPr>
      <w:r w:rsidRPr="0025641F">
        <w:rPr>
          <w:b/>
          <w:bCs/>
        </w:rPr>
        <w:t>Criterio Técnico vs. Especulación:</w:t>
      </w:r>
      <w:r w:rsidRPr="0025641F">
        <w:t xml:space="preserve"> Las decisiones deben basarse en fundamentos financieros y tendencias macroeconómicas de las compañías. Se debe evitar operar bajo "datos" o consejos informales de medios de comunicación no especializados.</w:t>
      </w:r>
    </w:p>
    <w:p w14:paraId="0100144C" w14:textId="77777777" w:rsidR="0025641F" w:rsidRPr="0025641F" w:rsidRDefault="0025641F" w:rsidP="0025641F">
      <w:pPr>
        <w:numPr>
          <w:ilvl w:val="0"/>
          <w:numId w:val="1"/>
        </w:numPr>
      </w:pPr>
      <w:r w:rsidRPr="0025641F">
        <w:rPr>
          <w:b/>
          <w:bCs/>
        </w:rPr>
        <w:t>Operación Regulada:</w:t>
      </w:r>
      <w:r w:rsidRPr="0025641F">
        <w:t xml:space="preserve"> Toda transacción debe realizarse a través de agentes y mercados sujetos a la regulación vigente.</w:t>
      </w:r>
    </w:p>
    <w:p w14:paraId="7B1760A0" w14:textId="77777777" w:rsidR="0025641F" w:rsidRPr="0025641F" w:rsidRDefault="0025641F" w:rsidP="0025641F">
      <w:pPr>
        <w:rPr>
          <w:b/>
          <w:bCs/>
        </w:rPr>
      </w:pPr>
      <w:r w:rsidRPr="0025641F">
        <w:rPr>
          <w:b/>
          <w:bCs/>
        </w:rPr>
        <w:t>Sección 2: Gestión de Riesgos y Diversificación</w:t>
      </w:r>
    </w:p>
    <w:p w14:paraId="4AE2E318" w14:textId="77777777" w:rsidR="0025641F" w:rsidRPr="0025641F" w:rsidRDefault="0025641F" w:rsidP="0025641F">
      <w:r w:rsidRPr="0025641F">
        <w:t>La mitigación del riesgo es el eje central de la supervivencia en el mercado.</w:t>
      </w:r>
    </w:p>
    <w:p w14:paraId="0DB70E1F" w14:textId="59A31AAF" w:rsidR="0025641F" w:rsidRPr="0025641F" w:rsidRDefault="0025641F" w:rsidP="0025641F">
      <w:pPr>
        <w:numPr>
          <w:ilvl w:val="0"/>
          <w:numId w:val="2"/>
        </w:numPr>
      </w:pPr>
      <w:r w:rsidRPr="0025641F">
        <w:rPr>
          <w:b/>
          <w:bCs/>
        </w:rPr>
        <w:lastRenderedPageBreak/>
        <w:t>Estrategia de Diversificación:</w:t>
      </w:r>
      <w:r w:rsidRPr="0025641F">
        <w:t xml:space="preserve"> Repartir el capital en distintos activos (acciones, bonos, cuotas de fondos) para evitar la concentración de riesgo. Una caída en un sector puede ser compensada por el alza en otro.</w:t>
      </w:r>
    </w:p>
    <w:p w14:paraId="614B06AC" w14:textId="77777777" w:rsidR="0025641F" w:rsidRPr="0025641F" w:rsidRDefault="0025641F" w:rsidP="0025641F">
      <w:pPr>
        <w:numPr>
          <w:ilvl w:val="0"/>
          <w:numId w:val="2"/>
        </w:numPr>
      </w:pPr>
      <w:r w:rsidRPr="0025641F">
        <w:rPr>
          <w:b/>
          <w:bCs/>
        </w:rPr>
        <w:t>Alineación con el Perfil de Riesgo:</w:t>
      </w:r>
      <w:r w:rsidRPr="0025641F">
        <w:t xml:space="preserve"> Mantener la volatilidad de la cartera dentro de los límites de tolerancia personales.</w:t>
      </w:r>
    </w:p>
    <w:p w14:paraId="164BE7A7" w14:textId="77777777" w:rsidR="0025641F" w:rsidRPr="0025641F" w:rsidRDefault="0025641F" w:rsidP="0025641F">
      <w:pPr>
        <w:numPr>
          <w:ilvl w:val="0"/>
          <w:numId w:val="2"/>
        </w:numPr>
      </w:pPr>
      <w:r w:rsidRPr="0025641F">
        <w:rPr>
          <w:b/>
          <w:bCs/>
        </w:rPr>
        <w:t>Gestión de Pérdidas (Stop-Loss):</w:t>
      </w:r>
      <w:r w:rsidRPr="0025641F">
        <w:t xml:space="preserve"> Es preferible asumir una pérdida controlada y salir del mercado a tiempo que mantener una posición que comprometa la integridad del capital total.</w:t>
      </w:r>
    </w:p>
    <w:p w14:paraId="7902AC1C" w14:textId="77777777" w:rsidR="0025641F" w:rsidRPr="0025641F" w:rsidRDefault="0025641F" w:rsidP="0025641F">
      <w:pPr>
        <w:rPr>
          <w:b/>
          <w:bCs/>
        </w:rPr>
      </w:pPr>
      <w:r w:rsidRPr="0025641F">
        <w:rPr>
          <w:b/>
          <w:bCs/>
        </w:rPr>
        <w:t>Sección 3: Costos de Intermediación y Rentabilidad Real</w:t>
      </w:r>
    </w:p>
    <w:p w14:paraId="7691A215" w14:textId="77777777" w:rsidR="0025641F" w:rsidRPr="0025641F" w:rsidRDefault="0025641F" w:rsidP="0025641F">
      <w:r w:rsidRPr="0025641F">
        <w:t>La rentabilidad bruta de una inversión se ve afectada por fricciones operativas que deben ser auditadas:</w:t>
      </w:r>
    </w:p>
    <w:p w14:paraId="4C03FFD5" w14:textId="77777777" w:rsidR="0025641F" w:rsidRPr="0025641F" w:rsidRDefault="0025641F" w:rsidP="0025641F">
      <w:pPr>
        <w:numPr>
          <w:ilvl w:val="0"/>
          <w:numId w:val="3"/>
        </w:numPr>
      </w:pPr>
      <w:r w:rsidRPr="0025641F">
        <w:rPr>
          <w:b/>
          <w:bCs/>
        </w:rPr>
        <w:t>Comisión del Corredor:</w:t>
      </w:r>
      <w:r w:rsidRPr="0025641F">
        <w:t xml:space="preserve"> Tarifas establecidas por cada intermediario, generalmente como porcentaje del monto transado.</w:t>
      </w:r>
    </w:p>
    <w:p w14:paraId="507A6020" w14:textId="77777777" w:rsidR="0025641F" w:rsidRPr="0025641F" w:rsidRDefault="0025641F" w:rsidP="0025641F">
      <w:pPr>
        <w:numPr>
          <w:ilvl w:val="0"/>
          <w:numId w:val="3"/>
        </w:numPr>
      </w:pPr>
      <w:r w:rsidRPr="0025641F">
        <w:rPr>
          <w:b/>
          <w:bCs/>
        </w:rPr>
        <w:t>Derechos de Bolsa:</w:t>
      </w:r>
      <w:r w:rsidRPr="0025641F">
        <w:t xml:space="preserve"> Cobros por el uso de la infraestructura bursátil.</w:t>
      </w:r>
    </w:p>
    <w:p w14:paraId="01C68BFD" w14:textId="77777777" w:rsidR="0025641F" w:rsidRPr="0025641F" w:rsidRDefault="0025641F" w:rsidP="0025641F">
      <w:pPr>
        <w:numPr>
          <w:ilvl w:val="0"/>
          <w:numId w:val="3"/>
        </w:numPr>
      </w:pPr>
      <w:r w:rsidRPr="0025641F">
        <w:rPr>
          <w:b/>
          <w:bCs/>
        </w:rPr>
        <w:t>IVA (19%):</w:t>
      </w:r>
      <w:r w:rsidRPr="0025641F">
        <w:t xml:space="preserve"> Impuesto aplicable sobre la comisión del corredor.</w:t>
      </w:r>
    </w:p>
    <w:p w14:paraId="38F50CA7" w14:textId="77777777" w:rsidR="0025641F" w:rsidRPr="0025641F" w:rsidRDefault="0025641F" w:rsidP="0025641F">
      <w:pPr>
        <w:numPr>
          <w:ilvl w:val="0"/>
          <w:numId w:val="3"/>
        </w:numPr>
      </w:pPr>
      <w:r w:rsidRPr="0025641F">
        <w:rPr>
          <w:b/>
          <w:bCs/>
        </w:rPr>
        <w:t>Costo de Custodia:</w:t>
      </w:r>
      <w:r w:rsidRPr="0025641F">
        <w:t xml:space="preserve"> Valor variable por el servicio de resguardo de los valores.</w:t>
      </w:r>
    </w:p>
    <w:p w14:paraId="2BF32ECD" w14:textId="77777777" w:rsidR="0025641F" w:rsidRPr="0025641F" w:rsidRDefault="0025641F" w:rsidP="0025641F">
      <w:pPr>
        <w:numPr>
          <w:ilvl w:val="0"/>
          <w:numId w:val="3"/>
        </w:numPr>
      </w:pPr>
      <w:r w:rsidRPr="0025641F">
        <w:rPr>
          <w:b/>
          <w:bCs/>
        </w:rPr>
        <w:t>Costos Fijos:</w:t>
      </w:r>
      <w:r w:rsidRPr="0025641F">
        <w:t xml:space="preserve"> Cargos adicionales por facturación o administración.</w:t>
      </w:r>
    </w:p>
    <w:p w14:paraId="2B572792" w14:textId="77777777" w:rsidR="0025641F" w:rsidRPr="0025641F" w:rsidRDefault="0025641F" w:rsidP="0025641F">
      <w:pPr>
        <w:rPr>
          <w:b/>
          <w:bCs/>
        </w:rPr>
      </w:pPr>
      <w:r w:rsidRPr="0025641F">
        <w:rPr>
          <w:b/>
          <w:bCs/>
        </w:rPr>
        <w:t>Sección 4: Vigilancia y Seguimiento de Mercado</w:t>
      </w:r>
    </w:p>
    <w:p w14:paraId="4995CF40" w14:textId="77777777" w:rsidR="0025641F" w:rsidRPr="0025641F" w:rsidRDefault="0025641F" w:rsidP="0025641F">
      <w:r w:rsidRPr="0025641F">
        <w:t>La inversión requiere un monitoreo activo y pausado de las variables del entorno:</w:t>
      </w:r>
    </w:p>
    <w:p w14:paraId="133CA178" w14:textId="77777777" w:rsidR="0025641F" w:rsidRPr="0025641F" w:rsidRDefault="0025641F" w:rsidP="0025641F">
      <w:pPr>
        <w:numPr>
          <w:ilvl w:val="0"/>
          <w:numId w:val="4"/>
        </w:numPr>
      </w:pPr>
      <w:r w:rsidRPr="0025641F">
        <w:rPr>
          <w:b/>
          <w:bCs/>
        </w:rPr>
        <w:t>Análisis de Entrada y Salida:</w:t>
      </w:r>
      <w:r w:rsidRPr="0025641F">
        <w:t xml:space="preserve"> El momento oportuno (timing) es determinante en los resultados finales. Se requiere un análisis calmo de las condiciones de mercado.</w:t>
      </w:r>
    </w:p>
    <w:p w14:paraId="180B3C8E" w14:textId="77777777" w:rsidR="0025641F" w:rsidRPr="0025641F" w:rsidRDefault="0025641F" w:rsidP="0025641F">
      <w:pPr>
        <w:numPr>
          <w:ilvl w:val="0"/>
          <w:numId w:val="4"/>
        </w:numPr>
      </w:pPr>
      <w:r w:rsidRPr="0025641F">
        <w:rPr>
          <w:b/>
          <w:bCs/>
        </w:rPr>
        <w:t>Vigilancia de Dividendos vs. Valorización:</w:t>
      </w:r>
      <w:r w:rsidRPr="0025641F">
        <w:t xml:space="preserve"> Una alta entrega de dividendos no garantiza la calidad de una empresa. En ocasiones, la revalorización del precio de la acción genera retornos superiores a largo plazo.</w:t>
      </w:r>
    </w:p>
    <w:p w14:paraId="021EE3C3" w14:textId="77777777" w:rsidR="0025641F" w:rsidRPr="0025641F" w:rsidRDefault="0025641F" w:rsidP="0025641F">
      <w:pPr>
        <w:numPr>
          <w:ilvl w:val="0"/>
          <w:numId w:val="4"/>
        </w:numPr>
      </w:pPr>
      <w:r w:rsidRPr="0025641F">
        <w:rPr>
          <w:b/>
          <w:bCs/>
        </w:rPr>
        <w:t>Seguimiento del Entorno:</w:t>
      </w:r>
      <w:r w:rsidRPr="0025641F">
        <w:t xml:space="preserve"> Monitoreo constante de las tendencias globales y locales que afectan el comportamiento de los activos.</w:t>
      </w:r>
    </w:p>
    <w:p w14:paraId="761470F3" w14:textId="77777777" w:rsidR="0025641F" w:rsidRPr="0025641F" w:rsidRDefault="0025641F" w:rsidP="0025641F">
      <w:r w:rsidRPr="0025641F">
        <w:pict w14:anchorId="1A82211A">
          <v:rect id="_x0000_i1063" style="width:0;height:1.5pt" o:hralign="center" o:hrstd="t" o:hr="t" fillcolor="#a0a0a0" stroked="f"/>
        </w:pict>
      </w:r>
    </w:p>
    <w:p w14:paraId="093E1491" w14:textId="77777777" w:rsidR="0025641F" w:rsidRPr="0025641F" w:rsidRDefault="0025641F" w:rsidP="0025641F">
      <w:pPr>
        <w:rPr>
          <w:b/>
          <w:bCs/>
        </w:rPr>
      </w:pPr>
      <w:r w:rsidRPr="0025641F">
        <w:rPr>
          <w:b/>
          <w:bCs/>
        </w:rPr>
        <w:t>Conceptos Financieros Clave</w:t>
      </w:r>
    </w:p>
    <w:p w14:paraId="2DA7B3A7" w14:textId="77777777" w:rsidR="0025641F" w:rsidRPr="0025641F" w:rsidRDefault="0025641F" w:rsidP="0025641F">
      <w:pPr>
        <w:numPr>
          <w:ilvl w:val="0"/>
          <w:numId w:val="5"/>
        </w:numPr>
      </w:pPr>
      <w:r w:rsidRPr="0025641F">
        <w:rPr>
          <w:b/>
          <w:bCs/>
        </w:rPr>
        <w:lastRenderedPageBreak/>
        <w:t>Pérdida de Capital:</w:t>
      </w:r>
      <w:r w:rsidRPr="0025641F">
        <w:t xml:space="preserve"> Diferencia negativa entre el precio de compra y el precio de venta de un activo. Representa una disminución directa de los retornos futuros.</w:t>
      </w:r>
    </w:p>
    <w:p w14:paraId="15A3D142" w14:textId="77777777" w:rsidR="0025641F" w:rsidRPr="0025641F" w:rsidRDefault="0025641F" w:rsidP="0025641F">
      <w:pPr>
        <w:numPr>
          <w:ilvl w:val="0"/>
          <w:numId w:val="5"/>
        </w:numPr>
      </w:pPr>
      <w:r w:rsidRPr="0025641F">
        <w:rPr>
          <w:b/>
          <w:bCs/>
        </w:rPr>
        <w:t>Diversificar:</w:t>
      </w:r>
      <w:r w:rsidRPr="0025641F">
        <w:t xml:space="preserve"> Acto de distribuir el capital disponible en diversos medios de inversión para diluir el riesgo específico.</w:t>
      </w:r>
    </w:p>
    <w:p w14:paraId="489F7E4F" w14:textId="77777777" w:rsidR="0025641F" w:rsidRPr="0025641F" w:rsidRDefault="0025641F" w:rsidP="0025641F">
      <w:pPr>
        <w:numPr>
          <w:ilvl w:val="0"/>
          <w:numId w:val="5"/>
        </w:numPr>
      </w:pPr>
      <w:r w:rsidRPr="0025641F">
        <w:rPr>
          <w:b/>
          <w:bCs/>
        </w:rPr>
        <w:t>Portafolio:</w:t>
      </w:r>
      <w:r w:rsidRPr="0025641F">
        <w:t xml:space="preserve"> Combinación estratégica de diversos activos financieros (acciones, bonos, etc.) tomados por un inversionista.</w:t>
      </w:r>
    </w:p>
    <w:p w14:paraId="29BD726B" w14:textId="77777777" w:rsidR="0025641F" w:rsidRPr="0025641F" w:rsidRDefault="0025641F" w:rsidP="0025641F">
      <w:pPr>
        <w:numPr>
          <w:ilvl w:val="0"/>
          <w:numId w:val="5"/>
        </w:numPr>
      </w:pPr>
      <w:r w:rsidRPr="0025641F">
        <w:rPr>
          <w:b/>
          <w:bCs/>
        </w:rPr>
        <w:t>Cobros de Intermediación:</w:t>
      </w:r>
      <w:r w:rsidRPr="0025641F">
        <w:t xml:space="preserve"> Erogaciones obligatorias por la ejecución y custodia de valores en el mercado formal.</w:t>
      </w:r>
    </w:p>
    <w:p w14:paraId="63DB44EA" w14:textId="77777777" w:rsidR="0025641F" w:rsidRPr="0025641F" w:rsidRDefault="0025641F" w:rsidP="0025641F">
      <w:r w:rsidRPr="0025641F">
        <w:pict w14:anchorId="0D3C9FD1">
          <v:rect id="_x0000_i1064" style="width:0;height:1.5pt" o:hralign="center" o:hrstd="t" o:hr="t" fillcolor="#a0a0a0" stroked="f"/>
        </w:pict>
      </w:r>
    </w:p>
    <w:p w14:paraId="6DEFC13D" w14:textId="77777777" w:rsidR="0025641F" w:rsidRPr="0025641F" w:rsidRDefault="0025641F" w:rsidP="0025641F">
      <w:pPr>
        <w:rPr>
          <w:b/>
          <w:bCs/>
        </w:rPr>
      </w:pPr>
      <w:r w:rsidRPr="0025641F">
        <w:rPr>
          <w:b/>
          <w:bCs/>
        </w:rPr>
        <w:t>Conclusiones / Ideas Principales</w:t>
      </w:r>
    </w:p>
    <w:p w14:paraId="21D52125" w14:textId="77777777" w:rsidR="0025641F" w:rsidRPr="0025641F" w:rsidRDefault="0025641F" w:rsidP="0025641F">
      <w:pPr>
        <w:numPr>
          <w:ilvl w:val="0"/>
          <w:numId w:val="6"/>
        </w:numPr>
      </w:pPr>
      <w:r w:rsidRPr="0025641F">
        <w:t xml:space="preserve">La </w:t>
      </w:r>
      <w:r w:rsidRPr="0025641F">
        <w:rPr>
          <w:b/>
          <w:bCs/>
        </w:rPr>
        <w:t>preservación del capital</w:t>
      </w:r>
      <w:r w:rsidRPr="0025641F">
        <w:t xml:space="preserve"> es prioritaria; cualquier pérdida de capital nominal erosiona el interés compuesto y los retornos futuros.</w:t>
      </w:r>
    </w:p>
    <w:p w14:paraId="08655625" w14:textId="77777777" w:rsidR="0025641F" w:rsidRPr="0025641F" w:rsidRDefault="0025641F" w:rsidP="0025641F">
      <w:pPr>
        <w:numPr>
          <w:ilvl w:val="0"/>
          <w:numId w:val="6"/>
        </w:numPr>
      </w:pPr>
      <w:r w:rsidRPr="0025641F">
        <w:t xml:space="preserve">La </w:t>
      </w:r>
      <w:r w:rsidRPr="0025641F">
        <w:rPr>
          <w:b/>
          <w:bCs/>
        </w:rPr>
        <w:t>diversificación</w:t>
      </w:r>
      <w:r w:rsidRPr="0025641F">
        <w:t xml:space="preserve"> es la única herramienta técnica capaz de proteger la cartera ante eventos de riesgo no sistémico.</w:t>
      </w:r>
    </w:p>
    <w:p w14:paraId="32A68AC8" w14:textId="77777777" w:rsidR="0025641F" w:rsidRPr="0025641F" w:rsidRDefault="0025641F" w:rsidP="0025641F">
      <w:pPr>
        <w:numPr>
          <w:ilvl w:val="0"/>
          <w:numId w:val="6"/>
        </w:numPr>
      </w:pPr>
      <w:r w:rsidRPr="0025641F">
        <w:t xml:space="preserve">El inversionista debe actuar como un </w:t>
      </w:r>
      <w:r w:rsidRPr="0025641F">
        <w:rPr>
          <w:b/>
          <w:bCs/>
        </w:rPr>
        <w:t>agente informado</w:t>
      </w:r>
      <w:r w:rsidRPr="0025641F">
        <w:t>, basando sus movimientos en estados financieros y tendencias reales, no en ruido mediático.</w:t>
      </w:r>
    </w:p>
    <w:p w14:paraId="3A26DD1E" w14:textId="77777777" w:rsidR="0025641F" w:rsidRPr="0025641F" w:rsidRDefault="0025641F" w:rsidP="0025641F">
      <w:r w:rsidRPr="0025641F">
        <w:pict w14:anchorId="69CBBF55">
          <v:rect id="_x0000_i1065" style="width:0;height:1.5pt" o:hralign="center" o:hrstd="t" o:hr="t" fillcolor="#a0a0a0" stroked="f"/>
        </w:pict>
      </w:r>
    </w:p>
    <w:p w14:paraId="7FFDA628" w14:textId="77777777" w:rsidR="0025641F" w:rsidRPr="0025641F" w:rsidRDefault="0025641F" w:rsidP="0025641F">
      <w:pPr>
        <w:rPr>
          <w:b/>
          <w:bCs/>
        </w:rPr>
      </w:pPr>
      <w:r w:rsidRPr="0025641F">
        <w:rPr>
          <w:b/>
          <w:bCs/>
        </w:rPr>
        <w:t>Supuestos, Riesgos o Consideraciones Relevantes</w:t>
      </w:r>
    </w:p>
    <w:p w14:paraId="40DC39B4" w14:textId="77777777" w:rsidR="0025641F" w:rsidRPr="0025641F" w:rsidRDefault="0025641F" w:rsidP="0025641F">
      <w:pPr>
        <w:numPr>
          <w:ilvl w:val="0"/>
          <w:numId w:val="7"/>
        </w:numPr>
      </w:pPr>
      <w:r w:rsidRPr="0025641F">
        <w:rPr>
          <w:b/>
          <w:bCs/>
        </w:rPr>
        <w:t>Riesgo de Liquidez:</w:t>
      </w:r>
      <w:r w:rsidRPr="0025641F">
        <w:t xml:space="preserve"> Se asume que el inversionista tiene la capacidad de esperar el momento técnico de salida sin verse forzado a liquidar por necesidades de efectivo inmediatas.</w:t>
      </w:r>
    </w:p>
    <w:p w14:paraId="5B9E7AE4" w14:textId="77777777" w:rsidR="0025641F" w:rsidRPr="0025641F" w:rsidRDefault="0025641F" w:rsidP="0025641F">
      <w:pPr>
        <w:numPr>
          <w:ilvl w:val="0"/>
          <w:numId w:val="7"/>
        </w:numPr>
      </w:pPr>
      <w:r w:rsidRPr="0025641F">
        <w:rPr>
          <w:b/>
          <w:bCs/>
        </w:rPr>
        <w:t>Impacto Fiscal:</w:t>
      </w:r>
      <w:r w:rsidRPr="0025641F">
        <w:t xml:space="preserve"> El IVA sobre las comisiones es un costo hundido que debe integrarse en el cálculo de la rentabilidad neta esperada.</w:t>
      </w:r>
    </w:p>
    <w:p w14:paraId="69DD6820" w14:textId="77777777" w:rsidR="0025641F" w:rsidRPr="0025641F" w:rsidRDefault="0025641F" w:rsidP="0025641F">
      <w:pPr>
        <w:numPr>
          <w:ilvl w:val="0"/>
          <w:numId w:val="7"/>
        </w:numPr>
      </w:pPr>
      <w:r w:rsidRPr="0025641F">
        <w:rPr>
          <w:b/>
          <w:bCs/>
        </w:rPr>
        <w:t>Riesgo Operacional:</w:t>
      </w:r>
      <w:r w:rsidRPr="0025641F">
        <w:t xml:space="preserve"> La elección de un intermediario no regulado anula las protecciones del sistema financiero formal.</w:t>
      </w:r>
    </w:p>
    <w:p w14:paraId="55A76C65"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52C5"/>
    <w:multiLevelType w:val="multilevel"/>
    <w:tmpl w:val="2CFC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45F9B"/>
    <w:multiLevelType w:val="multilevel"/>
    <w:tmpl w:val="1E2C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E5190"/>
    <w:multiLevelType w:val="multilevel"/>
    <w:tmpl w:val="7F0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2D40F8"/>
    <w:multiLevelType w:val="multilevel"/>
    <w:tmpl w:val="632C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6368E"/>
    <w:multiLevelType w:val="multilevel"/>
    <w:tmpl w:val="4E603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45287F"/>
    <w:multiLevelType w:val="multilevel"/>
    <w:tmpl w:val="A3BA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1B1557"/>
    <w:multiLevelType w:val="multilevel"/>
    <w:tmpl w:val="C082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019788">
    <w:abstractNumId w:val="1"/>
  </w:num>
  <w:num w:numId="2" w16cid:durableId="1891263303">
    <w:abstractNumId w:val="0"/>
  </w:num>
  <w:num w:numId="3" w16cid:durableId="246234742">
    <w:abstractNumId w:val="4"/>
  </w:num>
  <w:num w:numId="4" w16cid:durableId="345402477">
    <w:abstractNumId w:val="6"/>
  </w:num>
  <w:num w:numId="5" w16cid:durableId="797263719">
    <w:abstractNumId w:val="2"/>
  </w:num>
  <w:num w:numId="6" w16cid:durableId="691960735">
    <w:abstractNumId w:val="5"/>
  </w:num>
  <w:num w:numId="7" w16cid:durableId="1977443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F1"/>
    <w:rsid w:val="000416D4"/>
    <w:rsid w:val="00071C90"/>
    <w:rsid w:val="000D1EDE"/>
    <w:rsid w:val="0025641F"/>
    <w:rsid w:val="002B0A53"/>
    <w:rsid w:val="00320D26"/>
    <w:rsid w:val="00414AB1"/>
    <w:rsid w:val="006473F9"/>
    <w:rsid w:val="00736F93"/>
    <w:rsid w:val="00F60DF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C0219"/>
  <w15:chartTrackingRefBased/>
  <w15:docId w15:val="{E162E5E1-C50F-4301-A84B-2A3124A3A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0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0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0D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0D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0D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0D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0D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0D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0D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0D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0D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0D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0D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0D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0D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0D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0D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0DF1"/>
    <w:rPr>
      <w:rFonts w:eastAsiaTheme="majorEastAsia" w:cstheme="majorBidi"/>
      <w:color w:val="272727" w:themeColor="text1" w:themeTint="D8"/>
    </w:rPr>
  </w:style>
  <w:style w:type="paragraph" w:styleId="Ttulo">
    <w:name w:val="Title"/>
    <w:basedOn w:val="Normal"/>
    <w:next w:val="Normal"/>
    <w:link w:val="TtuloCar"/>
    <w:uiPriority w:val="10"/>
    <w:qFormat/>
    <w:rsid w:val="00F60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0D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0D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0D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0DF1"/>
    <w:pPr>
      <w:spacing w:before="160"/>
      <w:jc w:val="center"/>
    </w:pPr>
    <w:rPr>
      <w:i/>
      <w:iCs/>
      <w:color w:val="404040" w:themeColor="text1" w:themeTint="BF"/>
    </w:rPr>
  </w:style>
  <w:style w:type="character" w:customStyle="1" w:styleId="CitaCar">
    <w:name w:val="Cita Car"/>
    <w:basedOn w:val="Fuentedeprrafopredeter"/>
    <w:link w:val="Cita"/>
    <w:uiPriority w:val="29"/>
    <w:rsid w:val="00F60DF1"/>
    <w:rPr>
      <w:i/>
      <w:iCs/>
      <w:color w:val="404040" w:themeColor="text1" w:themeTint="BF"/>
    </w:rPr>
  </w:style>
  <w:style w:type="paragraph" w:styleId="Prrafodelista">
    <w:name w:val="List Paragraph"/>
    <w:basedOn w:val="Normal"/>
    <w:uiPriority w:val="34"/>
    <w:qFormat/>
    <w:rsid w:val="00F60DF1"/>
    <w:pPr>
      <w:ind w:left="720"/>
      <w:contextualSpacing/>
    </w:pPr>
  </w:style>
  <w:style w:type="character" w:styleId="nfasisintenso">
    <w:name w:val="Intense Emphasis"/>
    <w:basedOn w:val="Fuentedeprrafopredeter"/>
    <w:uiPriority w:val="21"/>
    <w:qFormat/>
    <w:rsid w:val="00F60DF1"/>
    <w:rPr>
      <w:i/>
      <w:iCs/>
      <w:color w:val="0F4761" w:themeColor="accent1" w:themeShade="BF"/>
    </w:rPr>
  </w:style>
  <w:style w:type="paragraph" w:styleId="Citadestacada">
    <w:name w:val="Intense Quote"/>
    <w:basedOn w:val="Normal"/>
    <w:next w:val="Normal"/>
    <w:link w:val="CitadestacadaCar"/>
    <w:uiPriority w:val="30"/>
    <w:qFormat/>
    <w:rsid w:val="00F60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0DF1"/>
    <w:rPr>
      <w:i/>
      <w:iCs/>
      <w:color w:val="0F4761" w:themeColor="accent1" w:themeShade="BF"/>
    </w:rPr>
  </w:style>
  <w:style w:type="character" w:styleId="Referenciaintensa">
    <w:name w:val="Intense Reference"/>
    <w:basedOn w:val="Fuentedeprrafopredeter"/>
    <w:uiPriority w:val="32"/>
    <w:qFormat/>
    <w:rsid w:val="00F60D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762</Words>
  <Characters>4192</Characters>
  <Application>Microsoft Office Word</Application>
  <DocSecurity>0</DocSecurity>
  <Lines>34</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3</cp:revision>
  <dcterms:created xsi:type="dcterms:W3CDTF">2026-05-06T20:15:00Z</dcterms:created>
  <dcterms:modified xsi:type="dcterms:W3CDTF">2026-05-06T20:18:00Z</dcterms:modified>
</cp:coreProperties>
</file>