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B987" w14:textId="4561B75B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Resumen Ejecutivo</w:t>
      </w:r>
    </w:p>
    <w:p w14:paraId="54A847DC" w14:textId="77777777" w:rsidR="00B36585" w:rsidRPr="00B36585" w:rsidRDefault="00B36585" w:rsidP="00B36585">
      <w:r w:rsidRPr="00B36585">
        <w:t xml:space="preserve">El mercado de valores ofrece una amplia gama de instrumentos financieros cuya selección debe alinearse con el perfil de riesgo y los objetivos del inversionista. Los activos se clasifican primordialmente en </w:t>
      </w:r>
      <w:r w:rsidRPr="00B36585">
        <w:rPr>
          <w:b/>
          <w:bCs/>
        </w:rPr>
        <w:t>instrumentos de deuda</w:t>
      </w:r>
      <w:r w:rsidRPr="00B36585">
        <w:t xml:space="preserve"> (renta fija) e </w:t>
      </w:r>
      <w:r w:rsidRPr="00B36585">
        <w:rPr>
          <w:b/>
          <w:bCs/>
        </w:rPr>
        <w:t>instrumentos de capitalización</w:t>
      </w:r>
      <w:r w:rsidRPr="00B36585">
        <w:t xml:space="preserve"> (renta variable). Mientras que los primeros ofrecen flujos conocidos bajo condiciones de solvencia del emisor, los segundos presentan una rentabilidad incierta supeditada a las fluctuaciones de precios y resultados del negocio. La máxima fundamental del mercado establece que la rentabilidad esperada es proporcional al riesgo asumido; por tanto, no existe inversión exenta de riesgo.</w:t>
      </w:r>
    </w:p>
    <w:p w14:paraId="56D99844" w14:textId="77777777" w:rsidR="00B36585" w:rsidRPr="00B36585" w:rsidRDefault="00B36585" w:rsidP="00B36585">
      <w:r w:rsidRPr="00B36585">
        <w:pict w14:anchorId="0A91B529">
          <v:rect id="_x0000_i1055" style="width:0;height:1.5pt" o:hralign="center" o:hrstd="t" o:hr="t" fillcolor="#a0a0a0" stroked="f"/>
        </w:pict>
      </w:r>
    </w:p>
    <w:p w14:paraId="74B33E45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Contexto y Propósito del Documento</w:t>
      </w:r>
    </w:p>
    <w:p w14:paraId="1B68C78B" w14:textId="77777777" w:rsidR="00B36585" w:rsidRPr="00B36585" w:rsidRDefault="00B36585" w:rsidP="00B36585">
      <w:r w:rsidRPr="00B36585">
        <w:t>Este informe técnico busca estructurar la información sobre los distintos vehículos de inversión disponibles, detallando sus características, mecánicas de adquisición y estructuras de costos. Su propósito es servir como guía para una toma de decisiones responsable, enfatizando la importancia de la información legal y financiera de los emisores y la mediación de agentes regulados.</w:t>
      </w:r>
    </w:p>
    <w:p w14:paraId="1DBBD752" w14:textId="77777777" w:rsidR="00B36585" w:rsidRPr="00B36585" w:rsidRDefault="00B36585" w:rsidP="00B36585">
      <w:r w:rsidRPr="00B36585">
        <w:pict w14:anchorId="12DF8CA3">
          <v:rect id="_x0000_i1056" style="width:0;height:1.5pt" o:hralign="center" o:hrstd="t" o:hr="t" fillcolor="#a0a0a0" stroked="f"/>
        </w:pict>
      </w:r>
    </w:p>
    <w:p w14:paraId="4A4024A1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Desarrollo del Contenido</w:t>
      </w:r>
    </w:p>
    <w:p w14:paraId="19CA050A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Sección 1: Taxonomía de los Instrumentos Financieros</w:t>
      </w:r>
    </w:p>
    <w:p w14:paraId="76300E39" w14:textId="77777777" w:rsidR="00B36585" w:rsidRPr="00B36585" w:rsidRDefault="00B36585" w:rsidP="00B36585">
      <w:r w:rsidRPr="00B36585">
        <w:t>Los instrumentos se dividen según la naturaleza de su rendimiento:</w:t>
      </w:r>
    </w:p>
    <w:p w14:paraId="2C9E8663" w14:textId="77777777" w:rsidR="00B36585" w:rsidRPr="00B36585" w:rsidRDefault="00B36585" w:rsidP="00B36585">
      <w:pPr>
        <w:numPr>
          <w:ilvl w:val="0"/>
          <w:numId w:val="1"/>
        </w:numPr>
      </w:pPr>
      <w:r w:rsidRPr="00B36585">
        <w:rPr>
          <w:b/>
          <w:bCs/>
        </w:rPr>
        <w:t>Instrumentos de Deuda e Intermediación Financiera (Renta Fija):</w:t>
      </w:r>
    </w:p>
    <w:p w14:paraId="58964A2C" w14:textId="77777777" w:rsidR="00B36585" w:rsidRPr="00B36585" w:rsidRDefault="00B36585" w:rsidP="00B36585">
      <w:pPr>
        <w:numPr>
          <w:ilvl w:val="1"/>
          <w:numId w:val="1"/>
        </w:numPr>
      </w:pPr>
      <w:r w:rsidRPr="00B36585">
        <w:rPr>
          <w:b/>
          <w:bCs/>
        </w:rPr>
        <w:t>Deuda a Largo Plazo:</w:t>
      </w:r>
      <w:r w:rsidRPr="00B36585">
        <w:t xml:space="preserve"> Bonos corporativos, letras hipotecarias, pagarés de Tesorería o del Banco Central (&gt; 1 año).</w:t>
      </w:r>
    </w:p>
    <w:p w14:paraId="18A85B65" w14:textId="77777777" w:rsidR="00B36585" w:rsidRPr="00B36585" w:rsidRDefault="00B36585" w:rsidP="00B36585">
      <w:pPr>
        <w:numPr>
          <w:ilvl w:val="1"/>
          <w:numId w:val="1"/>
        </w:numPr>
      </w:pPr>
      <w:r w:rsidRPr="00B36585">
        <w:rPr>
          <w:b/>
          <w:bCs/>
        </w:rPr>
        <w:t>Intermediación Financiera (IIF):</w:t>
      </w:r>
      <w:r w:rsidRPr="00B36585">
        <w:t xml:space="preserve"> Instrumentos de corto plazo (&lt; 1 año) como depósitos a plazo, efectos de comercio y pagarés descontables (PDBC).</w:t>
      </w:r>
    </w:p>
    <w:p w14:paraId="0DC6EA44" w14:textId="77777777" w:rsidR="00B36585" w:rsidRPr="00B36585" w:rsidRDefault="00B36585" w:rsidP="00B36585">
      <w:pPr>
        <w:numPr>
          <w:ilvl w:val="1"/>
          <w:numId w:val="1"/>
        </w:numPr>
      </w:pPr>
      <w:r w:rsidRPr="00B36585">
        <w:rPr>
          <w:b/>
          <w:bCs/>
        </w:rPr>
        <w:t>Dinámica:</w:t>
      </w:r>
      <w:r w:rsidRPr="00B36585">
        <w:t xml:space="preserve"> Si se mantienen hasta el vencimiento, la rentabilidad es fija y conocida. Ejemplo: Una inversión de $\$100$ con un $10\%$ anual resulta en:</w:t>
      </w:r>
    </w:p>
    <w:p w14:paraId="2315EB80" w14:textId="77777777" w:rsidR="00B36585" w:rsidRPr="00B36585" w:rsidRDefault="00B36585" w:rsidP="00B36585">
      <w:r w:rsidRPr="00B36585">
        <w:t>$$100 \times (1 + 0.10) = 110$$</w:t>
      </w:r>
    </w:p>
    <w:p w14:paraId="1AF85B34" w14:textId="77777777" w:rsidR="00B36585" w:rsidRPr="00B36585" w:rsidRDefault="00B36585" w:rsidP="00B36585">
      <w:pPr>
        <w:numPr>
          <w:ilvl w:val="0"/>
          <w:numId w:val="1"/>
        </w:numPr>
      </w:pPr>
      <w:r w:rsidRPr="00B36585">
        <w:rPr>
          <w:b/>
          <w:bCs/>
        </w:rPr>
        <w:lastRenderedPageBreak/>
        <w:t>Instrumentos de Capitalización (Renta Variable):</w:t>
      </w:r>
    </w:p>
    <w:p w14:paraId="44CF9B3A" w14:textId="77777777" w:rsidR="00B36585" w:rsidRPr="00B36585" w:rsidRDefault="00B36585" w:rsidP="00B36585">
      <w:pPr>
        <w:numPr>
          <w:ilvl w:val="1"/>
          <w:numId w:val="1"/>
        </w:numPr>
      </w:pPr>
      <w:r w:rsidRPr="00B36585">
        <w:rPr>
          <w:b/>
          <w:bCs/>
        </w:rPr>
        <w:t>Activos:</w:t>
      </w:r>
      <w:r w:rsidRPr="00B36585">
        <w:t xml:space="preserve"> Acciones, cuotas de fondos mutuos, cuotas de fondos de inversión.</w:t>
      </w:r>
    </w:p>
    <w:p w14:paraId="6B82E8E5" w14:textId="77777777" w:rsidR="00B36585" w:rsidRPr="00B36585" w:rsidRDefault="00B36585" w:rsidP="00B36585">
      <w:pPr>
        <w:numPr>
          <w:ilvl w:val="1"/>
          <w:numId w:val="1"/>
        </w:numPr>
      </w:pPr>
      <w:r w:rsidRPr="00B36585">
        <w:rPr>
          <w:b/>
          <w:bCs/>
        </w:rPr>
        <w:t>Dinámica:</w:t>
      </w:r>
      <w:r w:rsidRPr="00B36585">
        <w:t xml:space="preserve"> La rentabilidad fluctúa según el precio de mercado. Un activo de $\$100$ puede variar drásticamente en periodos cortos, permitiendo ganancias superiores a la renta fija o pérdidas de capital significativas.</w:t>
      </w:r>
    </w:p>
    <w:p w14:paraId="182D7774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Sección 2: Acciones de Sociedades Anónimas Abiertas</w:t>
      </w:r>
    </w:p>
    <w:p w14:paraId="234C641A" w14:textId="77777777" w:rsidR="00B36585" w:rsidRPr="00B36585" w:rsidRDefault="00B36585" w:rsidP="00B36585">
      <w:r w:rsidRPr="00B36585">
        <w:t>Representan una fracción del patrimonio de una empresa, otorgando derechos de propiedad y control.</w:t>
      </w:r>
    </w:p>
    <w:p w14:paraId="44A8ED72" w14:textId="77777777" w:rsidR="00B36585" w:rsidRPr="00B36585" w:rsidRDefault="00B36585" w:rsidP="00B36585">
      <w:pPr>
        <w:numPr>
          <w:ilvl w:val="0"/>
          <w:numId w:val="2"/>
        </w:numPr>
      </w:pPr>
      <w:r w:rsidRPr="00B36585">
        <w:rPr>
          <w:b/>
          <w:bCs/>
        </w:rPr>
        <w:t>Tipos de Acciones:</w:t>
      </w:r>
    </w:p>
    <w:p w14:paraId="1FAA0A81" w14:textId="77777777" w:rsidR="00B36585" w:rsidRPr="00B36585" w:rsidRDefault="00B36585" w:rsidP="00B36585">
      <w:pPr>
        <w:numPr>
          <w:ilvl w:val="1"/>
          <w:numId w:val="2"/>
        </w:numPr>
      </w:pPr>
      <w:r w:rsidRPr="00B36585">
        <w:rPr>
          <w:b/>
          <w:bCs/>
        </w:rPr>
        <w:t>Ordinarias:</w:t>
      </w:r>
      <w:r w:rsidRPr="00B36585">
        <w:t xml:space="preserve"> Derechos estándar, plazo indefinido.</w:t>
      </w:r>
    </w:p>
    <w:p w14:paraId="5961B367" w14:textId="77777777" w:rsidR="00B36585" w:rsidRPr="00B36585" w:rsidRDefault="00B36585" w:rsidP="00B36585">
      <w:pPr>
        <w:numPr>
          <w:ilvl w:val="1"/>
          <w:numId w:val="2"/>
        </w:numPr>
      </w:pPr>
      <w:r w:rsidRPr="00B36585">
        <w:rPr>
          <w:b/>
          <w:bCs/>
        </w:rPr>
        <w:t>Preferentes:</w:t>
      </w:r>
      <w:r w:rsidRPr="00B36585">
        <w:t xml:space="preserve"> Privilegios en dividendos o elección de directores (plazo definido).</w:t>
      </w:r>
    </w:p>
    <w:p w14:paraId="142C6DA2" w14:textId="77777777" w:rsidR="00B36585" w:rsidRPr="00B36585" w:rsidRDefault="00B36585" w:rsidP="00B36585">
      <w:pPr>
        <w:numPr>
          <w:ilvl w:val="0"/>
          <w:numId w:val="2"/>
        </w:numPr>
      </w:pPr>
      <w:r w:rsidRPr="00B36585">
        <w:rPr>
          <w:b/>
          <w:bCs/>
        </w:rPr>
        <w:t>Forma de Emisión:</w:t>
      </w:r>
      <w:r w:rsidRPr="00B36585">
        <w:t xml:space="preserve"> Pueden ser nominativas (título físico) o desmaterializadas (registro electrónico).</w:t>
      </w:r>
    </w:p>
    <w:p w14:paraId="077692F5" w14:textId="77777777" w:rsidR="00B36585" w:rsidRPr="00B36585" w:rsidRDefault="00B36585" w:rsidP="00B36585">
      <w:pPr>
        <w:numPr>
          <w:ilvl w:val="0"/>
          <w:numId w:val="2"/>
        </w:numPr>
      </w:pPr>
      <w:r w:rsidRPr="00B36585">
        <w:rPr>
          <w:b/>
          <w:bCs/>
        </w:rPr>
        <w:t>Mecánica de Inversión:</w:t>
      </w:r>
      <w:r w:rsidRPr="00B36585">
        <w:t xml:space="preserve"> Se gestionan a través de Corredores de Bolsa, requiriendo una "Ficha de Cliente" y firma de contratos de custodia.</w:t>
      </w:r>
    </w:p>
    <w:p w14:paraId="6AF06FD5" w14:textId="77777777" w:rsidR="00B36585" w:rsidRPr="00B36585" w:rsidRDefault="00B36585" w:rsidP="00B36585">
      <w:pPr>
        <w:numPr>
          <w:ilvl w:val="0"/>
          <w:numId w:val="2"/>
        </w:numPr>
      </w:pPr>
      <w:r w:rsidRPr="00B36585">
        <w:rPr>
          <w:b/>
          <w:bCs/>
        </w:rPr>
        <w:t>Liquidación:</w:t>
      </w:r>
    </w:p>
    <w:p w14:paraId="24FF2C60" w14:textId="77777777" w:rsidR="00B36585" w:rsidRPr="00B36585" w:rsidRDefault="00B36585" w:rsidP="00B36585">
      <w:pPr>
        <w:numPr>
          <w:ilvl w:val="1"/>
          <w:numId w:val="2"/>
        </w:numPr>
      </w:pPr>
      <w:r w:rsidRPr="00B36585">
        <w:rPr>
          <w:b/>
          <w:bCs/>
        </w:rPr>
        <w:t>PH:</w:t>
      </w:r>
      <w:r w:rsidRPr="00B36585">
        <w:t xml:space="preserve"> Pagadera hoy.</w:t>
      </w:r>
    </w:p>
    <w:p w14:paraId="6C562B39" w14:textId="77777777" w:rsidR="00B36585" w:rsidRPr="00B36585" w:rsidRDefault="00B36585" w:rsidP="00B36585">
      <w:pPr>
        <w:numPr>
          <w:ilvl w:val="1"/>
          <w:numId w:val="2"/>
        </w:numPr>
      </w:pPr>
      <w:r w:rsidRPr="00B36585">
        <w:rPr>
          <w:b/>
          <w:bCs/>
        </w:rPr>
        <w:t>CN (Contado Normal):</w:t>
      </w:r>
      <w:r w:rsidRPr="00B36585">
        <w:t xml:space="preserve"> Segundo día hábil bursátil (la más habitual).</w:t>
      </w:r>
    </w:p>
    <w:p w14:paraId="40C52D6E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Sección 3: Administración de Activos (Fondos Mutuos e Inversión)</w:t>
      </w:r>
    </w:p>
    <w:p w14:paraId="676CBB63" w14:textId="77777777" w:rsidR="00B36585" w:rsidRPr="00B36585" w:rsidRDefault="00B36585" w:rsidP="00B36585">
      <w:r w:rsidRPr="00B36585">
        <w:t>Vehículos de inversión colectiva administrados por Sociedades Administradoras Generales de Fondos (AGF).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835"/>
        <w:gridCol w:w="4191"/>
      </w:tblGrid>
      <w:tr w:rsidR="00B36585" w:rsidRPr="00B36585" w14:paraId="1C10D5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DAA6B" w14:textId="77777777" w:rsidR="00B36585" w:rsidRPr="00B36585" w:rsidRDefault="00B36585" w:rsidP="00B36585">
            <w:r w:rsidRPr="00B3658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FA277" w14:textId="77777777" w:rsidR="00B36585" w:rsidRPr="00B36585" w:rsidRDefault="00B36585" w:rsidP="00B36585">
            <w:r w:rsidRPr="00B36585">
              <w:rPr>
                <w:b/>
                <w:bCs/>
              </w:rPr>
              <w:t>Fondos Mutuos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6FAC" w14:textId="77777777" w:rsidR="00B36585" w:rsidRPr="00B36585" w:rsidRDefault="00B36585" w:rsidP="00B36585">
            <w:r w:rsidRPr="00B36585">
              <w:rPr>
                <w:b/>
                <w:bCs/>
              </w:rPr>
              <w:t>Fondos de Inversión</w:t>
            </w:r>
          </w:p>
        </w:tc>
      </w:tr>
      <w:tr w:rsidR="00B36585" w:rsidRPr="00B36585" w14:paraId="421D7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A3D12" w14:textId="77777777" w:rsidR="00B36585" w:rsidRPr="00B36585" w:rsidRDefault="00B36585" w:rsidP="00B36585">
            <w:r w:rsidRPr="00B36585">
              <w:rPr>
                <w:b/>
                <w:bCs/>
              </w:rPr>
              <w:t>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5C438" w14:textId="77777777" w:rsidR="00B36585" w:rsidRPr="00B36585" w:rsidRDefault="00B36585" w:rsidP="00B36585">
            <w:r w:rsidRPr="00B36585">
              <w:t>Rescate generalmente en &lt; 10 días.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5424D" w14:textId="77777777" w:rsidR="00B36585" w:rsidRPr="00B36585" w:rsidRDefault="00B36585" w:rsidP="00B36585">
            <w:r w:rsidRPr="00B36585">
              <w:t>Rescatables (11-179 días) o No Rescatables (&gt; 180 días).</w:t>
            </w:r>
          </w:p>
        </w:tc>
      </w:tr>
      <w:tr w:rsidR="00B36585" w:rsidRPr="00B36585" w14:paraId="14450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696A4" w14:textId="77777777" w:rsidR="00B36585" w:rsidRPr="00B36585" w:rsidRDefault="00B36585" w:rsidP="00B36585">
            <w:r w:rsidRPr="00B36585">
              <w:rPr>
                <w:b/>
                <w:bCs/>
              </w:rPr>
              <w:lastRenderedPageBreak/>
              <w:t>Público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FCF4" w14:textId="77777777" w:rsidR="00B36585" w:rsidRPr="00B36585" w:rsidRDefault="00B36585" w:rsidP="00B36585">
            <w:r w:rsidRPr="00B36585">
              <w:t>Inversionistas de todo tipo (</w:t>
            </w:r>
            <w:proofErr w:type="spellStart"/>
            <w:r w:rsidRPr="00B36585">
              <w:t>retail</w:t>
            </w:r>
            <w:proofErr w:type="spellEnd"/>
            <w:r w:rsidRPr="00B36585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DB5B" w14:textId="77777777" w:rsidR="00B36585" w:rsidRPr="00B36585" w:rsidRDefault="00B36585" w:rsidP="00B36585">
            <w:r w:rsidRPr="00B36585">
              <w:t>Alto patrimonio e institucionales.</w:t>
            </w:r>
          </w:p>
        </w:tc>
      </w:tr>
      <w:tr w:rsidR="00B36585" w:rsidRPr="00B36585" w14:paraId="5D86C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317E" w14:textId="77777777" w:rsidR="00B36585" w:rsidRPr="00B36585" w:rsidRDefault="00B36585" w:rsidP="00B36585">
            <w:r w:rsidRPr="00B36585">
              <w:rPr>
                <w:b/>
                <w:bCs/>
              </w:rPr>
              <w:t>Gobernanza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286D0" w14:textId="77777777" w:rsidR="00B36585" w:rsidRPr="00B36585" w:rsidRDefault="00B36585" w:rsidP="00B36585">
            <w:r w:rsidRPr="00B36585">
              <w:t>Administrados por la AGF.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AC3CF" w14:textId="77777777" w:rsidR="00B36585" w:rsidRPr="00B36585" w:rsidRDefault="00B36585" w:rsidP="00B36585">
            <w:r w:rsidRPr="00B36585">
              <w:t>Cuentan con un Comité de Vigilancia (en no rescatables).</w:t>
            </w:r>
          </w:p>
        </w:tc>
      </w:tr>
      <w:tr w:rsidR="00B36585" w:rsidRPr="00B36585" w14:paraId="74429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9C98B" w14:textId="77777777" w:rsidR="00B36585" w:rsidRPr="00B36585" w:rsidRDefault="00B36585" w:rsidP="00B36585">
            <w:r w:rsidRPr="00B36585">
              <w:rPr>
                <w:b/>
                <w:bCs/>
              </w:rPr>
              <w:t>Valorización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5A4CE" w14:textId="77777777" w:rsidR="00B36585" w:rsidRPr="00B36585" w:rsidRDefault="00B36585" w:rsidP="00B36585">
            <w:r w:rsidRPr="00B36585">
              <w:t>Valor cuota diario.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01501" w14:textId="77777777" w:rsidR="00B36585" w:rsidRPr="00B36585" w:rsidRDefault="00B36585" w:rsidP="00B36585">
            <w:r w:rsidRPr="00B36585">
              <w:t>Valor cuota según reglamento interno.</w:t>
            </w:r>
          </w:p>
        </w:tc>
      </w:tr>
    </w:tbl>
    <w:p w14:paraId="3A3224F2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Sección 4: Estructura de Costos de Transacción</w:t>
      </w:r>
    </w:p>
    <w:p w14:paraId="30C01C7A" w14:textId="77777777" w:rsidR="00B36585" w:rsidRPr="00B36585" w:rsidRDefault="00B36585" w:rsidP="00B36585">
      <w:r w:rsidRPr="00B36585">
        <w:t>Invertir conlleva gastos adicionales que impactan la utilidad neta. Ejemplo de costos en transacciones de acciones: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053"/>
      </w:tblGrid>
      <w:tr w:rsidR="00B36585" w:rsidRPr="00B36585" w14:paraId="563702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12F83" w14:textId="77777777" w:rsidR="00B36585" w:rsidRPr="00B36585" w:rsidRDefault="00B36585" w:rsidP="00B36585">
            <w:r w:rsidRPr="00B36585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A177" w14:textId="77777777" w:rsidR="00B36585" w:rsidRPr="00B36585" w:rsidRDefault="00B36585" w:rsidP="00B36585">
            <w:r w:rsidRPr="00B36585">
              <w:rPr>
                <w:b/>
                <w:bCs/>
              </w:rPr>
              <w:t>Detalle</w:t>
            </w:r>
          </w:p>
        </w:tc>
      </w:tr>
      <w:tr w:rsidR="00B36585" w:rsidRPr="00B36585" w14:paraId="31448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2A779" w14:textId="77777777" w:rsidR="00B36585" w:rsidRPr="00B36585" w:rsidRDefault="00B36585" w:rsidP="00B36585">
            <w:r w:rsidRPr="00B36585">
              <w:rPr>
                <w:b/>
                <w:bCs/>
              </w:rPr>
              <w:t>Comisión Corredora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F8741" w14:textId="77777777" w:rsidR="00B36585" w:rsidRPr="00B36585" w:rsidRDefault="00B36585" w:rsidP="00B36585">
            <w:r w:rsidRPr="00B36585">
              <w:t>Variable (0,5% a 1% aprox.).</w:t>
            </w:r>
          </w:p>
        </w:tc>
      </w:tr>
      <w:tr w:rsidR="00B36585" w:rsidRPr="00B36585" w14:paraId="3EB56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AFB14" w14:textId="77777777" w:rsidR="00B36585" w:rsidRPr="00B36585" w:rsidRDefault="00B36585" w:rsidP="00B36585">
            <w:r w:rsidRPr="00B36585">
              <w:rPr>
                <w:b/>
                <w:bCs/>
              </w:rPr>
              <w:t>Derechos de Bolsa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EF838" w14:textId="77777777" w:rsidR="00B36585" w:rsidRPr="00B36585" w:rsidRDefault="00B36585" w:rsidP="00B36585">
            <w:r w:rsidRPr="00B36585">
              <w:t>Cobro por uso de infraestructura bursátil.</w:t>
            </w:r>
          </w:p>
        </w:tc>
      </w:tr>
      <w:tr w:rsidR="00B36585" w:rsidRPr="00B36585" w14:paraId="4F6A6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32840" w14:textId="77777777" w:rsidR="00B36585" w:rsidRPr="00B36585" w:rsidRDefault="00B36585" w:rsidP="00B36585">
            <w:r w:rsidRPr="00B36585">
              <w:rPr>
                <w:b/>
                <w:bCs/>
              </w:rPr>
              <w:t>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C1124" w14:textId="77777777" w:rsidR="00B36585" w:rsidRPr="00B36585" w:rsidRDefault="00B36585" w:rsidP="00B36585">
            <w:r w:rsidRPr="00B36585">
              <w:t>19% aplicado sobre comisiones y derechos.</w:t>
            </w:r>
          </w:p>
        </w:tc>
      </w:tr>
      <w:tr w:rsidR="00B36585" w:rsidRPr="00B36585" w14:paraId="1C90F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4E1D6" w14:textId="77777777" w:rsidR="00B36585" w:rsidRPr="00B36585" w:rsidRDefault="00B36585" w:rsidP="00B36585">
            <w:r w:rsidRPr="00B36585">
              <w:rPr>
                <w:b/>
                <w:bCs/>
              </w:rPr>
              <w:t>Custodia y Facturación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8A224" w14:textId="77777777" w:rsidR="00B36585" w:rsidRPr="00B36585" w:rsidRDefault="00B36585" w:rsidP="00B36585">
            <w:r w:rsidRPr="00B36585">
              <w:t>Costos fijos o variables por resguardo de títulos.</w:t>
            </w:r>
          </w:p>
        </w:tc>
      </w:tr>
    </w:tbl>
    <w:p w14:paraId="00AA5845" w14:textId="77777777" w:rsidR="00B36585" w:rsidRPr="00B36585" w:rsidRDefault="00B36585" w:rsidP="00B36585">
      <w:r w:rsidRPr="00B36585">
        <w:pict w14:anchorId="2522F92C">
          <v:rect id="_x0000_i1057" style="width:0;height:1.5pt" o:hralign="center" o:hrstd="t" o:hr="t" fillcolor="#a0a0a0" stroked="f"/>
        </w:pict>
      </w:r>
    </w:p>
    <w:p w14:paraId="2208FD13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Conceptos Financieros Clave</w:t>
      </w:r>
    </w:p>
    <w:p w14:paraId="4DE1899C" w14:textId="77777777" w:rsidR="00B36585" w:rsidRPr="00B36585" w:rsidRDefault="00B36585" w:rsidP="00B36585">
      <w:pPr>
        <w:numPr>
          <w:ilvl w:val="0"/>
          <w:numId w:val="3"/>
        </w:numPr>
      </w:pPr>
      <w:r w:rsidRPr="00B36585">
        <w:rPr>
          <w:b/>
          <w:bCs/>
        </w:rPr>
        <w:t>Instrumentos de Capitalización:</w:t>
      </w:r>
      <w:r w:rsidRPr="00B36585">
        <w:t xml:space="preserve"> Activos cuya rentabilidad depende de la plusvalía del precio y no es garantizada.</w:t>
      </w:r>
    </w:p>
    <w:p w14:paraId="6069047E" w14:textId="77777777" w:rsidR="00B36585" w:rsidRPr="00B36585" w:rsidRDefault="00B36585" w:rsidP="00B36585">
      <w:pPr>
        <w:numPr>
          <w:ilvl w:val="0"/>
          <w:numId w:val="3"/>
        </w:numPr>
      </w:pPr>
      <w:r w:rsidRPr="00B36585">
        <w:rPr>
          <w:b/>
          <w:bCs/>
        </w:rPr>
        <w:t>Ganancia/Pérdida de Capital:</w:t>
      </w:r>
      <w:r w:rsidRPr="00B36585">
        <w:t xml:space="preserve"> Diferencia entre el precio de compra y el de venta.</w:t>
      </w:r>
    </w:p>
    <w:p w14:paraId="37DE3DA0" w14:textId="77777777" w:rsidR="00B36585" w:rsidRPr="00B36585" w:rsidRDefault="00B36585" w:rsidP="00B36585">
      <w:pPr>
        <w:numPr>
          <w:ilvl w:val="0"/>
          <w:numId w:val="3"/>
        </w:numPr>
      </w:pPr>
      <w:r w:rsidRPr="00B36585">
        <w:rPr>
          <w:b/>
          <w:bCs/>
        </w:rPr>
        <w:t>Fondos Mutuos:</w:t>
      </w:r>
      <w:r w:rsidRPr="00B36585">
        <w:t xml:space="preserve"> Patrimonio integrado por aportes de personas (partícipes) para inversión en diversos valores.</w:t>
      </w:r>
    </w:p>
    <w:p w14:paraId="63EEF385" w14:textId="77777777" w:rsidR="00B36585" w:rsidRPr="00B36585" w:rsidRDefault="00B36585" w:rsidP="00B36585">
      <w:pPr>
        <w:numPr>
          <w:ilvl w:val="0"/>
          <w:numId w:val="3"/>
        </w:numPr>
      </w:pPr>
      <w:r w:rsidRPr="00B36585">
        <w:rPr>
          <w:b/>
          <w:bCs/>
        </w:rPr>
        <w:t>Contrato General de Fondos:</w:t>
      </w:r>
      <w:r w:rsidRPr="00B36585">
        <w:t xml:space="preserve"> Documento marco que rige la relación entre el aportante y la administradora.</w:t>
      </w:r>
    </w:p>
    <w:p w14:paraId="610131B2" w14:textId="77777777" w:rsidR="00B36585" w:rsidRPr="00B36585" w:rsidRDefault="00B36585" w:rsidP="00B36585">
      <w:r w:rsidRPr="00B36585">
        <w:pict w14:anchorId="49BDCA0D">
          <v:rect id="_x0000_i1058" style="width:0;height:1.5pt" o:hralign="center" o:hrstd="t" o:hr="t" fillcolor="#a0a0a0" stroked="f"/>
        </w:pict>
      </w:r>
    </w:p>
    <w:p w14:paraId="05DC6796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Conclusiones / Ideas Principales</w:t>
      </w:r>
    </w:p>
    <w:p w14:paraId="737EAADF" w14:textId="77777777" w:rsidR="00B36585" w:rsidRPr="00B36585" w:rsidRDefault="00B36585" w:rsidP="00B36585">
      <w:pPr>
        <w:numPr>
          <w:ilvl w:val="0"/>
          <w:numId w:val="4"/>
        </w:numPr>
      </w:pPr>
      <w:r w:rsidRPr="00B36585">
        <w:rPr>
          <w:b/>
          <w:bCs/>
        </w:rPr>
        <w:lastRenderedPageBreak/>
        <w:t>Axioma Riesgo-Retorno:</w:t>
      </w:r>
      <w:r w:rsidRPr="00B36585">
        <w:t xml:space="preserve"> No existe rentabilidad sin riesgo; el inversionista debe determinar su umbral de tolerancia antes de operar.</w:t>
      </w:r>
    </w:p>
    <w:p w14:paraId="5D6E34DB" w14:textId="77777777" w:rsidR="00B36585" w:rsidRPr="00B36585" w:rsidRDefault="00B36585" w:rsidP="00B36585">
      <w:pPr>
        <w:numPr>
          <w:ilvl w:val="0"/>
          <w:numId w:val="4"/>
        </w:numPr>
      </w:pPr>
      <w:r w:rsidRPr="00B36585">
        <w:rPr>
          <w:b/>
          <w:bCs/>
        </w:rPr>
        <w:t>Diversificación:</w:t>
      </w:r>
      <w:r w:rsidRPr="00B36585">
        <w:t xml:space="preserve"> El uso de fondos (mutuos o de inversión) permite acceder a portafolios diversificados que diluyen el riesgo individual de los activos.</w:t>
      </w:r>
    </w:p>
    <w:p w14:paraId="67EE9B89" w14:textId="77777777" w:rsidR="00B36585" w:rsidRPr="00B36585" w:rsidRDefault="00B36585" w:rsidP="00B36585">
      <w:pPr>
        <w:numPr>
          <w:ilvl w:val="0"/>
          <w:numId w:val="4"/>
        </w:numPr>
      </w:pPr>
      <w:r w:rsidRPr="00B36585">
        <w:rPr>
          <w:b/>
          <w:bCs/>
        </w:rPr>
        <w:t>Responsabilidad Informada:</w:t>
      </w:r>
      <w:r w:rsidRPr="00B36585">
        <w:t xml:space="preserve"> La decisión final es exclusiva del inversionista; los asesores y corredores no garantizan resultados futuros.</w:t>
      </w:r>
    </w:p>
    <w:p w14:paraId="47D1B8C7" w14:textId="77777777" w:rsidR="00B36585" w:rsidRPr="00B36585" w:rsidRDefault="00B36585" w:rsidP="00B36585">
      <w:r w:rsidRPr="00B36585">
        <w:pict w14:anchorId="10FD2FFD">
          <v:rect id="_x0000_i1059" style="width:0;height:1.5pt" o:hralign="center" o:hrstd="t" o:hr="t" fillcolor="#a0a0a0" stroked="f"/>
        </w:pict>
      </w:r>
    </w:p>
    <w:p w14:paraId="53AA743F" w14:textId="77777777" w:rsidR="00B36585" w:rsidRPr="00B36585" w:rsidRDefault="00B36585" w:rsidP="00B36585">
      <w:pPr>
        <w:rPr>
          <w:b/>
          <w:bCs/>
        </w:rPr>
      </w:pPr>
      <w:r w:rsidRPr="00B36585">
        <w:rPr>
          <w:b/>
          <w:bCs/>
        </w:rPr>
        <w:t>Supuestos, Riesgos o Consideraciones Relevantes</w:t>
      </w:r>
    </w:p>
    <w:p w14:paraId="4D3A7971" w14:textId="77777777" w:rsidR="00B36585" w:rsidRPr="00B36585" w:rsidRDefault="00B36585" w:rsidP="00B36585">
      <w:pPr>
        <w:numPr>
          <w:ilvl w:val="0"/>
          <w:numId w:val="5"/>
        </w:numPr>
      </w:pPr>
      <w:r w:rsidRPr="00B36585">
        <w:rPr>
          <w:b/>
          <w:bCs/>
        </w:rPr>
        <w:t>Riesgo de Solvencia:</w:t>
      </w:r>
      <w:r w:rsidRPr="00B36585">
        <w:t xml:space="preserve"> En renta fija, la rentabilidad depende de la capacidad de pago del emisor.</w:t>
      </w:r>
    </w:p>
    <w:p w14:paraId="5751B4BF" w14:textId="77777777" w:rsidR="00B36585" w:rsidRPr="00B36585" w:rsidRDefault="00B36585" w:rsidP="00B36585">
      <w:pPr>
        <w:numPr>
          <w:ilvl w:val="0"/>
          <w:numId w:val="5"/>
        </w:numPr>
      </w:pPr>
      <w:r w:rsidRPr="00B36585">
        <w:rPr>
          <w:b/>
          <w:bCs/>
        </w:rPr>
        <w:t>Volatilidad:</w:t>
      </w:r>
      <w:r w:rsidRPr="00B36585">
        <w:t xml:space="preserve"> En renta variable, factores externos pueden provocar variaciones del $50\%$ o más en el capital.</w:t>
      </w:r>
    </w:p>
    <w:p w14:paraId="748FF546" w14:textId="77777777" w:rsidR="00B36585" w:rsidRPr="00B36585" w:rsidRDefault="00B36585" w:rsidP="00B36585">
      <w:pPr>
        <w:numPr>
          <w:ilvl w:val="0"/>
          <w:numId w:val="5"/>
        </w:numPr>
      </w:pPr>
      <w:r w:rsidRPr="00B36585">
        <w:rPr>
          <w:b/>
          <w:bCs/>
        </w:rPr>
        <w:t>Costos Friccionales:</w:t>
      </w:r>
      <w:r w:rsidRPr="00B36585">
        <w:t xml:space="preserve"> Las comisiones y el IVA pueden consumir una porción importante de la ganancia, especialmente en montos de inversión bajos.</w:t>
      </w:r>
    </w:p>
    <w:p w14:paraId="4F46BAC9" w14:textId="77777777" w:rsidR="000D1EDE" w:rsidRPr="00B36585" w:rsidRDefault="000D1EDE" w:rsidP="00B36585"/>
    <w:sectPr w:rsidR="000D1EDE" w:rsidRPr="00B36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1958"/>
    <w:multiLevelType w:val="multilevel"/>
    <w:tmpl w:val="F97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D2AF5"/>
    <w:multiLevelType w:val="multilevel"/>
    <w:tmpl w:val="663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6B51"/>
    <w:multiLevelType w:val="multilevel"/>
    <w:tmpl w:val="A0F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96338"/>
    <w:multiLevelType w:val="multilevel"/>
    <w:tmpl w:val="3DB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D619C"/>
    <w:multiLevelType w:val="multilevel"/>
    <w:tmpl w:val="CD7C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040668">
    <w:abstractNumId w:val="4"/>
  </w:num>
  <w:num w:numId="2" w16cid:durableId="1611933399">
    <w:abstractNumId w:val="0"/>
  </w:num>
  <w:num w:numId="3" w16cid:durableId="1012952502">
    <w:abstractNumId w:val="2"/>
  </w:num>
  <w:num w:numId="4" w16cid:durableId="1800301673">
    <w:abstractNumId w:val="1"/>
  </w:num>
  <w:num w:numId="5" w16cid:durableId="100278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0F"/>
    <w:rsid w:val="00071C90"/>
    <w:rsid w:val="000D1EDE"/>
    <w:rsid w:val="001363CB"/>
    <w:rsid w:val="00320D26"/>
    <w:rsid w:val="00414AB1"/>
    <w:rsid w:val="006473F9"/>
    <w:rsid w:val="00736F93"/>
    <w:rsid w:val="0077170F"/>
    <w:rsid w:val="00B3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58D41"/>
  <w15:chartTrackingRefBased/>
  <w15:docId w15:val="{4D2E6644-8B3D-4778-AAFE-728362DB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7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7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4248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2026-05-06T20:32:00Z</dcterms:created>
  <dcterms:modified xsi:type="dcterms:W3CDTF">2026-05-06T20:33:00Z</dcterms:modified>
</cp:coreProperties>
</file>