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0E6C" w14:textId="77777777" w:rsidR="009D0D2F" w:rsidRPr="009D0D2F" w:rsidRDefault="009D0D2F" w:rsidP="009D0D2F">
      <w:pPr>
        <w:rPr>
          <w:b/>
          <w:bCs/>
        </w:rPr>
      </w:pPr>
      <w:r w:rsidRPr="009D0D2F">
        <w:rPr>
          <w:b/>
          <w:bCs/>
        </w:rPr>
        <w:t>Resumen Ejecutivo</w:t>
      </w:r>
    </w:p>
    <w:p w14:paraId="61372FC8" w14:textId="77777777" w:rsidR="009D0D2F" w:rsidRPr="009D0D2F" w:rsidRDefault="009D0D2F" w:rsidP="009D0D2F">
      <w:r w:rsidRPr="009D0D2F">
        <w:t>La inversión constituye el mecanismo principal para el aseguramiento del futuro financiero dentro del mercado de capitales, teniendo como requisito sine qua non el ahorro previo y la gestión de la información. El éxito en este ámbito depende de la alineación de los instrumentos financieros con los objetivos personales, el análisis riguroso de las entidades emisoras y la operación exclusiva a través de intermediarios regulados. La transparencia, la regulación de la Comisión para el Mercado Financiero (CMF) y el Banco Central, y la responsabilidad individual del inversionista forman los pilares de este ecosistema.</w:t>
      </w:r>
    </w:p>
    <w:p w14:paraId="1D30F0E3" w14:textId="77777777" w:rsidR="009D0D2F" w:rsidRPr="009D0D2F" w:rsidRDefault="009D0D2F" w:rsidP="009D0D2F">
      <w:r w:rsidRPr="009D0D2F">
        <w:pict w14:anchorId="3E19241F">
          <v:rect id="_x0000_i1055" style="width:0;height:1.5pt" o:hralign="center" o:hrstd="t" o:hr="t" fillcolor="#a0a0a0" stroked="f"/>
        </w:pict>
      </w:r>
    </w:p>
    <w:p w14:paraId="7995F726" w14:textId="77777777" w:rsidR="009D0D2F" w:rsidRPr="009D0D2F" w:rsidRDefault="009D0D2F" w:rsidP="009D0D2F">
      <w:pPr>
        <w:rPr>
          <w:b/>
          <w:bCs/>
        </w:rPr>
      </w:pPr>
      <w:r w:rsidRPr="009D0D2F">
        <w:rPr>
          <w:b/>
          <w:bCs/>
        </w:rPr>
        <w:t>Contexto y Propósito del Documento</w:t>
      </w:r>
    </w:p>
    <w:p w14:paraId="09375FF9" w14:textId="77777777" w:rsidR="009D0D2F" w:rsidRPr="009D0D2F" w:rsidRDefault="009D0D2F" w:rsidP="009D0D2F">
      <w:r w:rsidRPr="009D0D2F">
        <w:t>El presente documento sistematiza los principios éticos, operativos y técnicos que deben regir la conducta de un inversionista. Su propósito es servir como guía para la toma de decisiones informadas, estableciendo los criterios mínimos de evaluación de activos y la normativa que protege la integridad de las transacciones en el mercado formal chileno.</w:t>
      </w:r>
    </w:p>
    <w:p w14:paraId="2C698DFA" w14:textId="77777777" w:rsidR="009D0D2F" w:rsidRPr="009D0D2F" w:rsidRDefault="009D0D2F" w:rsidP="009D0D2F">
      <w:r w:rsidRPr="009D0D2F">
        <w:pict w14:anchorId="658B9E57">
          <v:rect id="_x0000_i1056" style="width:0;height:1.5pt" o:hralign="center" o:hrstd="t" o:hr="t" fillcolor="#a0a0a0" stroked="f"/>
        </w:pict>
      </w:r>
    </w:p>
    <w:p w14:paraId="68788456" w14:textId="77777777" w:rsidR="009D0D2F" w:rsidRPr="009D0D2F" w:rsidRDefault="009D0D2F" w:rsidP="009D0D2F">
      <w:pPr>
        <w:rPr>
          <w:b/>
          <w:bCs/>
        </w:rPr>
      </w:pPr>
      <w:r w:rsidRPr="009D0D2F">
        <w:rPr>
          <w:b/>
          <w:bCs/>
        </w:rPr>
        <w:t>Desarrollo del Contenido</w:t>
      </w:r>
    </w:p>
    <w:p w14:paraId="7279D33F" w14:textId="77777777" w:rsidR="009D0D2F" w:rsidRPr="009D0D2F" w:rsidRDefault="009D0D2F" w:rsidP="009D0D2F">
      <w:pPr>
        <w:rPr>
          <w:b/>
          <w:bCs/>
        </w:rPr>
      </w:pPr>
      <w:r w:rsidRPr="009D0D2F">
        <w:rPr>
          <w:b/>
          <w:bCs/>
        </w:rPr>
        <w:t>Sección 1: Pilares de la Decisión de Inversión</w:t>
      </w:r>
    </w:p>
    <w:p w14:paraId="46AA0954" w14:textId="77777777" w:rsidR="009D0D2F" w:rsidRPr="009D0D2F" w:rsidRDefault="009D0D2F" w:rsidP="009D0D2F">
      <w:r w:rsidRPr="009D0D2F">
        <w:t>La transición del ahorro a la inversión requiere una metodología de priorización basada en las necesidades y expectativas del titular.</w:t>
      </w:r>
    </w:p>
    <w:p w14:paraId="0434B5A9" w14:textId="77777777" w:rsidR="009D0D2F" w:rsidRPr="009D0D2F" w:rsidRDefault="009D0D2F" w:rsidP="009D0D2F">
      <w:pPr>
        <w:numPr>
          <w:ilvl w:val="0"/>
          <w:numId w:val="1"/>
        </w:numPr>
      </w:pPr>
      <w:r w:rsidRPr="009D0D2F">
        <w:rPr>
          <w:b/>
          <w:bCs/>
        </w:rPr>
        <w:t>Determinación de Metas:</w:t>
      </w:r>
      <w:r w:rsidRPr="009D0D2F">
        <w:t xml:space="preserve"> Establecer objetivos claros de rentabilidad y plazo.</w:t>
      </w:r>
    </w:p>
    <w:p w14:paraId="7529B536" w14:textId="77777777" w:rsidR="009D0D2F" w:rsidRPr="009D0D2F" w:rsidRDefault="009D0D2F" w:rsidP="009D0D2F">
      <w:pPr>
        <w:numPr>
          <w:ilvl w:val="0"/>
          <w:numId w:val="1"/>
        </w:numPr>
      </w:pPr>
      <w:r w:rsidRPr="009D0D2F">
        <w:rPr>
          <w:b/>
          <w:bCs/>
        </w:rPr>
        <w:t>Evaluación de Atributos del Instrumento:</w:t>
      </w:r>
      <w:r w:rsidRPr="009D0D2F">
        <w:t xml:space="preserve"> Análisis de cinco variables críticas:</w:t>
      </w:r>
    </w:p>
    <w:p w14:paraId="5C19C7E2" w14:textId="77777777" w:rsidR="009D0D2F" w:rsidRPr="009D0D2F" w:rsidRDefault="009D0D2F" w:rsidP="009D0D2F">
      <w:pPr>
        <w:numPr>
          <w:ilvl w:val="1"/>
          <w:numId w:val="1"/>
        </w:numPr>
      </w:pPr>
      <w:r w:rsidRPr="009D0D2F">
        <w:rPr>
          <w:b/>
          <w:bCs/>
        </w:rPr>
        <w:t>Plazo:</w:t>
      </w:r>
      <w:r w:rsidRPr="009D0D2F">
        <w:t xml:space="preserve"> Horizonte de tiempo de la inversión.</w:t>
      </w:r>
    </w:p>
    <w:p w14:paraId="64161F43" w14:textId="77777777" w:rsidR="009D0D2F" w:rsidRPr="009D0D2F" w:rsidRDefault="009D0D2F" w:rsidP="009D0D2F">
      <w:pPr>
        <w:numPr>
          <w:ilvl w:val="1"/>
          <w:numId w:val="1"/>
        </w:numPr>
      </w:pPr>
      <w:r w:rsidRPr="009D0D2F">
        <w:rPr>
          <w:b/>
          <w:bCs/>
        </w:rPr>
        <w:t>Rentabilidad:</w:t>
      </w:r>
      <w:r w:rsidRPr="009D0D2F">
        <w:t xml:space="preserve"> Retorno esperado.</w:t>
      </w:r>
    </w:p>
    <w:p w14:paraId="3FBA3856" w14:textId="77777777" w:rsidR="009D0D2F" w:rsidRPr="009D0D2F" w:rsidRDefault="009D0D2F" w:rsidP="009D0D2F">
      <w:pPr>
        <w:numPr>
          <w:ilvl w:val="1"/>
          <w:numId w:val="1"/>
        </w:numPr>
      </w:pPr>
      <w:r w:rsidRPr="009D0D2F">
        <w:rPr>
          <w:b/>
          <w:bCs/>
        </w:rPr>
        <w:t>Reajustabilidad:</w:t>
      </w:r>
      <w:r w:rsidRPr="009D0D2F">
        <w:t xml:space="preserve"> Protección contra la pérdida de valor adquisitivo.</w:t>
      </w:r>
    </w:p>
    <w:p w14:paraId="661023C4" w14:textId="77777777" w:rsidR="009D0D2F" w:rsidRPr="009D0D2F" w:rsidRDefault="009D0D2F" w:rsidP="009D0D2F">
      <w:pPr>
        <w:numPr>
          <w:ilvl w:val="1"/>
          <w:numId w:val="1"/>
        </w:numPr>
      </w:pPr>
      <w:r w:rsidRPr="009D0D2F">
        <w:rPr>
          <w:b/>
          <w:bCs/>
        </w:rPr>
        <w:t>Liquidez:</w:t>
      </w:r>
      <w:r w:rsidRPr="009D0D2F">
        <w:t xml:space="preserve"> Facilidad de convertir el activo en efectivo.</w:t>
      </w:r>
    </w:p>
    <w:p w14:paraId="1438FEF5" w14:textId="77777777" w:rsidR="009D0D2F" w:rsidRPr="009D0D2F" w:rsidRDefault="009D0D2F" w:rsidP="009D0D2F">
      <w:pPr>
        <w:numPr>
          <w:ilvl w:val="1"/>
          <w:numId w:val="1"/>
        </w:numPr>
      </w:pPr>
      <w:r w:rsidRPr="009D0D2F">
        <w:rPr>
          <w:b/>
          <w:bCs/>
        </w:rPr>
        <w:t>Riesgo:</w:t>
      </w:r>
      <w:r w:rsidRPr="009D0D2F">
        <w:t xml:space="preserve"> Probabilidad de variación en los resultados esperados.</w:t>
      </w:r>
    </w:p>
    <w:p w14:paraId="6999ADEE" w14:textId="77777777" w:rsidR="009D0D2F" w:rsidRPr="009D0D2F" w:rsidRDefault="009D0D2F" w:rsidP="009D0D2F">
      <w:pPr>
        <w:numPr>
          <w:ilvl w:val="0"/>
          <w:numId w:val="1"/>
        </w:numPr>
      </w:pPr>
      <w:r w:rsidRPr="009D0D2F">
        <w:rPr>
          <w:b/>
          <w:bCs/>
        </w:rPr>
        <w:t>Análisis de Costos Friccionales:</w:t>
      </w:r>
      <w:r w:rsidRPr="009D0D2F">
        <w:t xml:space="preserve"> Identificación de comisiones, gastos de administración e impuestos que impactan la utilidad neta.</w:t>
      </w:r>
    </w:p>
    <w:p w14:paraId="47B274C1" w14:textId="77777777" w:rsidR="009D0D2F" w:rsidRPr="009D0D2F" w:rsidRDefault="009D0D2F" w:rsidP="009D0D2F">
      <w:pPr>
        <w:rPr>
          <w:b/>
          <w:bCs/>
        </w:rPr>
      </w:pPr>
      <w:r w:rsidRPr="009D0D2F">
        <w:rPr>
          <w:b/>
          <w:bCs/>
        </w:rPr>
        <w:lastRenderedPageBreak/>
        <w:t>Sección 2: El Deber de Diligencia (Due Diligence) del Inversionista</w:t>
      </w:r>
    </w:p>
    <w:p w14:paraId="2435DC2B" w14:textId="77777777" w:rsidR="009D0D2F" w:rsidRPr="009D0D2F" w:rsidRDefault="009D0D2F" w:rsidP="009D0D2F">
      <w:r w:rsidRPr="009D0D2F">
        <w:t>Para minimizar la asimetría de información, el inversionista debe auditar como mínimo los siguientes puntos de la sociedad emisora:</w:t>
      </w:r>
    </w:p>
    <w:p w14:paraId="414C1F1C" w14:textId="77777777" w:rsidR="009D0D2F" w:rsidRPr="009D0D2F" w:rsidRDefault="009D0D2F" w:rsidP="009D0D2F">
      <w:pPr>
        <w:numPr>
          <w:ilvl w:val="0"/>
          <w:numId w:val="2"/>
        </w:numPr>
      </w:pPr>
      <w:r w:rsidRPr="009D0D2F">
        <w:rPr>
          <w:b/>
          <w:bCs/>
        </w:rPr>
        <w:t>Información Financiera:</w:t>
      </w:r>
      <w:r w:rsidRPr="009D0D2F">
        <w:t xml:space="preserve"> Estados financieros auditados más recientes.</w:t>
      </w:r>
    </w:p>
    <w:p w14:paraId="20524592" w14:textId="77777777" w:rsidR="009D0D2F" w:rsidRPr="009D0D2F" w:rsidRDefault="009D0D2F" w:rsidP="009D0D2F">
      <w:pPr>
        <w:numPr>
          <w:ilvl w:val="0"/>
          <w:numId w:val="2"/>
        </w:numPr>
      </w:pPr>
      <w:r w:rsidRPr="009D0D2F">
        <w:rPr>
          <w:b/>
          <w:bCs/>
        </w:rPr>
        <w:t>Gobierno Corporativo:</w:t>
      </w:r>
      <w:r w:rsidRPr="009D0D2F">
        <w:t xml:space="preserve"> Identidad de los administradores (Directorio, Gerente General) y principales accionistas.</w:t>
      </w:r>
    </w:p>
    <w:p w14:paraId="0F43C80F" w14:textId="77777777" w:rsidR="009D0D2F" w:rsidRPr="009D0D2F" w:rsidRDefault="009D0D2F" w:rsidP="009D0D2F">
      <w:pPr>
        <w:numPr>
          <w:ilvl w:val="0"/>
          <w:numId w:val="2"/>
        </w:numPr>
      </w:pPr>
      <w:r w:rsidRPr="009D0D2F">
        <w:rPr>
          <w:b/>
          <w:bCs/>
        </w:rPr>
        <w:t>Análisis del Negocio:</w:t>
      </w:r>
      <w:r w:rsidRPr="009D0D2F">
        <w:t xml:space="preserve"> Actividad principal, pertenencia a grupos económicos y crecimiento del rubro.</w:t>
      </w:r>
    </w:p>
    <w:p w14:paraId="365EAF02" w14:textId="77777777" w:rsidR="009D0D2F" w:rsidRPr="009D0D2F" w:rsidRDefault="009D0D2F" w:rsidP="009D0D2F">
      <w:pPr>
        <w:numPr>
          <w:ilvl w:val="0"/>
          <w:numId w:val="2"/>
        </w:numPr>
      </w:pPr>
      <w:r w:rsidRPr="009D0D2F">
        <w:rPr>
          <w:b/>
          <w:bCs/>
        </w:rPr>
        <w:t>Métricas de Desempeño:</w:t>
      </w:r>
      <w:r w:rsidRPr="009D0D2F">
        <w:t xml:space="preserve"> Solvencia, liquidez y comparación de rendimientos frente a otras alternativas de mercado.</w:t>
      </w:r>
    </w:p>
    <w:p w14:paraId="696CA51C" w14:textId="77777777" w:rsidR="009D0D2F" w:rsidRPr="009D0D2F" w:rsidRDefault="009D0D2F" w:rsidP="009D0D2F">
      <w:pPr>
        <w:rPr>
          <w:b/>
          <w:bCs/>
        </w:rPr>
      </w:pPr>
      <w:r w:rsidRPr="009D0D2F">
        <w:rPr>
          <w:b/>
          <w:bCs/>
        </w:rPr>
        <w:t>Sección 3: El Mercado Formal y su Regulación</w:t>
      </w:r>
    </w:p>
    <w:p w14:paraId="080704A8" w14:textId="77777777" w:rsidR="009D0D2F" w:rsidRPr="009D0D2F" w:rsidRDefault="009D0D2F" w:rsidP="009D0D2F">
      <w:r w:rsidRPr="009D0D2F">
        <w:t>La seguridad jurídica de la inversión depende de operar dentro del mercado formal regulado.</w:t>
      </w:r>
    </w:p>
    <w:p w14:paraId="104A6093" w14:textId="77777777" w:rsidR="009D0D2F" w:rsidRPr="009D0D2F" w:rsidRDefault="009D0D2F" w:rsidP="009D0D2F">
      <w:pPr>
        <w:numPr>
          <w:ilvl w:val="0"/>
          <w:numId w:val="3"/>
        </w:numPr>
      </w:pPr>
      <w:r w:rsidRPr="009D0D2F">
        <w:rPr>
          <w:b/>
          <w:bCs/>
        </w:rPr>
        <w:t>Entidades Reguladoras:</w:t>
      </w:r>
      <w:r w:rsidRPr="009D0D2F">
        <w:t xml:space="preserve"> La </w:t>
      </w:r>
      <w:r w:rsidRPr="009D0D2F">
        <w:rPr>
          <w:b/>
          <w:bCs/>
        </w:rPr>
        <w:t>Comisión para el Mercado Financiero (CMF)</w:t>
      </w:r>
      <w:r w:rsidRPr="009D0D2F">
        <w:t xml:space="preserve"> y el </w:t>
      </w:r>
      <w:r w:rsidRPr="009D0D2F">
        <w:rPr>
          <w:b/>
          <w:bCs/>
        </w:rPr>
        <w:t>Banco Central</w:t>
      </w:r>
      <w:r w:rsidRPr="009D0D2F">
        <w:t xml:space="preserve"> establecen la normativa vigente.</w:t>
      </w:r>
    </w:p>
    <w:p w14:paraId="10679C15" w14:textId="77777777" w:rsidR="009D0D2F" w:rsidRPr="009D0D2F" w:rsidRDefault="009D0D2F" w:rsidP="009D0D2F">
      <w:pPr>
        <w:numPr>
          <w:ilvl w:val="0"/>
          <w:numId w:val="3"/>
        </w:numPr>
      </w:pPr>
      <w:r w:rsidRPr="009D0D2F">
        <w:rPr>
          <w:b/>
          <w:bCs/>
        </w:rPr>
        <w:t>Infraestructura:</w:t>
      </w:r>
      <w:r w:rsidRPr="009D0D2F">
        <w:t xml:space="preserve"> Las Bolsas de Comercio proporcionan la plataforma física y tecnológica para la transparencia y equidad en las transacciones.</w:t>
      </w:r>
    </w:p>
    <w:p w14:paraId="71DB7957" w14:textId="77777777" w:rsidR="009D0D2F" w:rsidRPr="009D0D2F" w:rsidRDefault="009D0D2F" w:rsidP="009D0D2F">
      <w:pPr>
        <w:numPr>
          <w:ilvl w:val="0"/>
          <w:numId w:val="3"/>
        </w:numPr>
      </w:pPr>
      <w:r w:rsidRPr="009D0D2F">
        <w:rPr>
          <w:b/>
          <w:bCs/>
        </w:rPr>
        <w:t>Sistemas de Autorregulación:</w:t>
      </w:r>
      <w:r w:rsidRPr="009D0D2F">
        <w:t xml:space="preserve"> Mecanismos internos de las entidades bursátiles para velar por la integridad de los precios y procesos.</w:t>
      </w:r>
    </w:p>
    <w:p w14:paraId="0BCAE2CA" w14:textId="77777777" w:rsidR="009D0D2F" w:rsidRPr="009D0D2F" w:rsidRDefault="009D0D2F" w:rsidP="009D0D2F">
      <w:pPr>
        <w:rPr>
          <w:b/>
          <w:bCs/>
        </w:rPr>
      </w:pPr>
      <w:r w:rsidRPr="009D0D2F">
        <w:rPr>
          <w:b/>
          <w:bCs/>
        </w:rPr>
        <w:t>Sección 4: Relación Contractual con Intermediarios</w:t>
      </w:r>
    </w:p>
    <w:p w14:paraId="016B0D51" w14:textId="77777777" w:rsidR="009D0D2F" w:rsidRPr="009D0D2F" w:rsidRDefault="009D0D2F" w:rsidP="009D0D2F">
      <w:r w:rsidRPr="009D0D2F">
        <w:t>Los únicos actores autorizados para operar son los Intermediarios, Agentes de Valores y Administradoras de Fondos.</w:t>
      </w:r>
    </w:p>
    <w:p w14:paraId="02EA9D2B" w14:textId="77777777" w:rsidR="009D0D2F" w:rsidRPr="009D0D2F" w:rsidRDefault="009D0D2F" w:rsidP="009D0D2F">
      <w:pPr>
        <w:numPr>
          <w:ilvl w:val="0"/>
          <w:numId w:val="4"/>
        </w:numPr>
      </w:pPr>
      <w:r w:rsidRPr="009D0D2F">
        <w:rPr>
          <w:b/>
          <w:bCs/>
        </w:rPr>
        <w:t>Criterios de Selección:</w:t>
      </w:r>
      <w:r w:rsidRPr="009D0D2F">
        <w:t xml:space="preserve"> Evaluar reputación, experiencia, agilidad en la entrega de informes y eficiencia en la ejecución.</w:t>
      </w:r>
    </w:p>
    <w:p w14:paraId="7D9C2BB2" w14:textId="77777777" w:rsidR="009D0D2F" w:rsidRPr="009D0D2F" w:rsidRDefault="009D0D2F" w:rsidP="009D0D2F">
      <w:pPr>
        <w:numPr>
          <w:ilvl w:val="0"/>
          <w:numId w:val="4"/>
        </w:numPr>
      </w:pPr>
      <w:r w:rsidRPr="009D0D2F">
        <w:rPr>
          <w:b/>
          <w:bCs/>
        </w:rPr>
        <w:t>Gestión de Comisiones:</w:t>
      </w:r>
      <w:r w:rsidRPr="009D0D2F">
        <w:t xml:space="preserve"> No son fijadas por la CMF; deben ser acordadas libremente y estipuladas por escrito en el contrato.</w:t>
      </w:r>
    </w:p>
    <w:p w14:paraId="6B455664" w14:textId="77777777" w:rsidR="009D0D2F" w:rsidRPr="009D0D2F" w:rsidRDefault="009D0D2F" w:rsidP="009D0D2F">
      <w:pPr>
        <w:numPr>
          <w:ilvl w:val="0"/>
          <w:numId w:val="4"/>
        </w:numPr>
      </w:pPr>
      <w:r w:rsidRPr="009D0D2F">
        <w:rPr>
          <w:b/>
          <w:bCs/>
        </w:rPr>
        <w:t>El Contrato de Servicios:</w:t>
      </w:r>
      <w:r w:rsidRPr="009D0D2F">
        <w:t xml:space="preserve"> Debe explicitar la naturaleza del servicio, vigencia, responsabilidades mutuas, riesgos involucrados y penalidades por cierre de cuenta.</w:t>
      </w:r>
    </w:p>
    <w:p w14:paraId="5E101C42" w14:textId="77777777" w:rsidR="009D0D2F" w:rsidRPr="009D0D2F" w:rsidRDefault="009D0D2F" w:rsidP="009D0D2F">
      <w:r w:rsidRPr="009D0D2F">
        <w:pict w14:anchorId="38464AB8">
          <v:rect id="_x0000_i1057" style="width:0;height:1.5pt" o:hralign="center" o:hrstd="t" o:hr="t" fillcolor="#a0a0a0" stroked="f"/>
        </w:pict>
      </w:r>
    </w:p>
    <w:p w14:paraId="2B18F967" w14:textId="77777777" w:rsidR="009D0D2F" w:rsidRPr="009D0D2F" w:rsidRDefault="009D0D2F" w:rsidP="009D0D2F">
      <w:pPr>
        <w:rPr>
          <w:b/>
          <w:bCs/>
        </w:rPr>
      </w:pPr>
      <w:r w:rsidRPr="009D0D2F">
        <w:rPr>
          <w:b/>
          <w:bCs/>
        </w:rPr>
        <w:lastRenderedPageBreak/>
        <w:t>Conceptos Financieros Clave</w:t>
      </w:r>
    </w:p>
    <w:p w14:paraId="7824ADB2" w14:textId="77777777" w:rsidR="009D0D2F" w:rsidRPr="009D0D2F" w:rsidRDefault="009D0D2F" w:rsidP="009D0D2F">
      <w:pPr>
        <w:numPr>
          <w:ilvl w:val="0"/>
          <w:numId w:val="5"/>
        </w:numPr>
      </w:pPr>
      <w:r w:rsidRPr="009D0D2F">
        <w:rPr>
          <w:b/>
          <w:bCs/>
        </w:rPr>
        <w:t>Mercado de Capitales:</w:t>
      </w:r>
      <w:r w:rsidRPr="009D0D2F">
        <w:t xml:space="preserve"> Sistema donde se compran y venden activos financieros, permitiendo el flujo de recursos desde ahorrantes hacia emisores.</w:t>
      </w:r>
    </w:p>
    <w:p w14:paraId="3228783B" w14:textId="77777777" w:rsidR="009D0D2F" w:rsidRPr="009D0D2F" w:rsidRDefault="009D0D2F" w:rsidP="009D0D2F">
      <w:pPr>
        <w:numPr>
          <w:ilvl w:val="0"/>
          <w:numId w:val="5"/>
        </w:numPr>
      </w:pPr>
      <w:r w:rsidRPr="009D0D2F">
        <w:rPr>
          <w:b/>
          <w:bCs/>
        </w:rPr>
        <w:t>Intermediarios de Valores:</w:t>
      </w:r>
      <w:r w:rsidRPr="009D0D2F">
        <w:t xml:space="preserve"> Profesionales especializados autorizados legalmente para ejecutar órdenes de compra y venta de valores por cuenta de terceros.</w:t>
      </w:r>
    </w:p>
    <w:p w14:paraId="55993EEE" w14:textId="77777777" w:rsidR="009D0D2F" w:rsidRPr="009D0D2F" w:rsidRDefault="009D0D2F" w:rsidP="009D0D2F">
      <w:pPr>
        <w:numPr>
          <w:ilvl w:val="0"/>
          <w:numId w:val="5"/>
        </w:numPr>
      </w:pPr>
      <w:r w:rsidRPr="009D0D2F">
        <w:rPr>
          <w:b/>
          <w:bCs/>
        </w:rPr>
        <w:t>Sociedad Emisora:</w:t>
      </w:r>
      <w:r w:rsidRPr="009D0D2F">
        <w:t xml:space="preserve"> Entidad que emite valores (acciones, bonos) para financiarse a través del mercado.</w:t>
      </w:r>
    </w:p>
    <w:p w14:paraId="731025F2" w14:textId="77777777" w:rsidR="009D0D2F" w:rsidRPr="009D0D2F" w:rsidRDefault="009D0D2F" w:rsidP="009D0D2F">
      <w:pPr>
        <w:numPr>
          <w:ilvl w:val="0"/>
          <w:numId w:val="5"/>
        </w:numPr>
      </w:pPr>
      <w:r w:rsidRPr="009D0D2F">
        <w:rPr>
          <w:b/>
          <w:bCs/>
        </w:rPr>
        <w:t>Mercado Formal:</w:t>
      </w:r>
      <w:r w:rsidRPr="009D0D2F">
        <w:t xml:space="preserve"> Espacio de transacciones sujeto a la fiscalización de organismos estatales y normativas legales.</w:t>
      </w:r>
    </w:p>
    <w:p w14:paraId="4D8CADEC" w14:textId="77777777" w:rsidR="009D0D2F" w:rsidRPr="009D0D2F" w:rsidRDefault="009D0D2F" w:rsidP="009D0D2F">
      <w:r w:rsidRPr="009D0D2F">
        <w:pict w14:anchorId="7BAD49E2">
          <v:rect id="_x0000_i1058" style="width:0;height:1.5pt" o:hralign="center" o:hrstd="t" o:hr="t" fillcolor="#a0a0a0" stroked="f"/>
        </w:pict>
      </w:r>
    </w:p>
    <w:p w14:paraId="28F91E10" w14:textId="77777777" w:rsidR="009D0D2F" w:rsidRPr="009D0D2F" w:rsidRDefault="009D0D2F" w:rsidP="009D0D2F">
      <w:pPr>
        <w:rPr>
          <w:b/>
          <w:bCs/>
        </w:rPr>
      </w:pPr>
      <w:r w:rsidRPr="009D0D2F">
        <w:rPr>
          <w:b/>
          <w:bCs/>
        </w:rPr>
        <w:t>Conclusiones / Ideas Principales</w:t>
      </w:r>
    </w:p>
    <w:p w14:paraId="780311CB" w14:textId="77777777" w:rsidR="009D0D2F" w:rsidRPr="009D0D2F" w:rsidRDefault="009D0D2F" w:rsidP="009D0D2F">
      <w:pPr>
        <w:numPr>
          <w:ilvl w:val="0"/>
          <w:numId w:val="6"/>
        </w:numPr>
      </w:pPr>
      <w:r w:rsidRPr="009D0D2F">
        <w:t xml:space="preserve">La </w:t>
      </w:r>
      <w:r w:rsidRPr="009D0D2F">
        <w:rPr>
          <w:b/>
          <w:bCs/>
        </w:rPr>
        <w:t>información</w:t>
      </w:r>
      <w:r w:rsidRPr="009D0D2F">
        <w:t xml:space="preserve"> es la herramienta de protección más potente del inversionista frente a la incertidumbre del mercado.</w:t>
      </w:r>
    </w:p>
    <w:p w14:paraId="28CE8B9D" w14:textId="77777777" w:rsidR="009D0D2F" w:rsidRPr="009D0D2F" w:rsidRDefault="009D0D2F" w:rsidP="009D0D2F">
      <w:pPr>
        <w:numPr>
          <w:ilvl w:val="0"/>
          <w:numId w:val="6"/>
        </w:numPr>
      </w:pPr>
      <w:r w:rsidRPr="009D0D2F">
        <w:t xml:space="preserve">La </w:t>
      </w:r>
      <w:r w:rsidRPr="009D0D2F">
        <w:rPr>
          <w:b/>
          <w:bCs/>
        </w:rPr>
        <w:t>responsabilidad de la decisión</w:t>
      </w:r>
      <w:r w:rsidRPr="009D0D2F">
        <w:t xml:space="preserve"> es exclusiva del inversionista; los asesores actúan como facilitadores y ejecutores, pero no asumen el riesgo de la decisión final.</w:t>
      </w:r>
    </w:p>
    <w:p w14:paraId="16CECB0C" w14:textId="77777777" w:rsidR="009D0D2F" w:rsidRPr="009D0D2F" w:rsidRDefault="009D0D2F" w:rsidP="009D0D2F">
      <w:pPr>
        <w:numPr>
          <w:ilvl w:val="0"/>
          <w:numId w:val="6"/>
        </w:numPr>
      </w:pPr>
      <w:r w:rsidRPr="009D0D2F">
        <w:t xml:space="preserve">Operar en el </w:t>
      </w:r>
      <w:r w:rsidRPr="009D0D2F">
        <w:rPr>
          <w:b/>
          <w:bCs/>
        </w:rPr>
        <w:t>mercado regulado</w:t>
      </w:r>
      <w:r w:rsidRPr="009D0D2F">
        <w:t xml:space="preserve"> es la única garantía de contar con mecanismos de reclamo y transparencia operativa.</w:t>
      </w:r>
    </w:p>
    <w:p w14:paraId="16504A01" w14:textId="77777777" w:rsidR="009D0D2F" w:rsidRPr="009D0D2F" w:rsidRDefault="009D0D2F" w:rsidP="009D0D2F">
      <w:r w:rsidRPr="009D0D2F">
        <w:pict w14:anchorId="41F86986">
          <v:rect id="_x0000_i1059" style="width:0;height:1.5pt" o:hralign="center" o:hrstd="t" o:hr="t" fillcolor="#a0a0a0" stroked="f"/>
        </w:pict>
      </w:r>
    </w:p>
    <w:p w14:paraId="2133B626" w14:textId="77777777" w:rsidR="009D0D2F" w:rsidRPr="009D0D2F" w:rsidRDefault="009D0D2F" w:rsidP="009D0D2F">
      <w:pPr>
        <w:rPr>
          <w:b/>
          <w:bCs/>
        </w:rPr>
      </w:pPr>
      <w:r w:rsidRPr="009D0D2F">
        <w:rPr>
          <w:b/>
          <w:bCs/>
        </w:rPr>
        <w:t>Supuestos, Riesgos o Consideraciones Relevantes</w:t>
      </w:r>
    </w:p>
    <w:p w14:paraId="57DF829B" w14:textId="77777777" w:rsidR="009D0D2F" w:rsidRPr="009D0D2F" w:rsidRDefault="009D0D2F" w:rsidP="009D0D2F">
      <w:pPr>
        <w:numPr>
          <w:ilvl w:val="0"/>
          <w:numId w:val="7"/>
        </w:numPr>
      </w:pPr>
      <w:r w:rsidRPr="009D0D2F">
        <w:rPr>
          <w:b/>
          <w:bCs/>
        </w:rPr>
        <w:t>Riesgo de Ejecución:</w:t>
      </w:r>
      <w:r w:rsidRPr="009D0D2F">
        <w:t xml:space="preserve"> El inversionista asume que su intermediario cuenta con la capacidad técnica para ejecutar las órdenes de acuerdo a lo pactado.</w:t>
      </w:r>
    </w:p>
    <w:p w14:paraId="34A253FE" w14:textId="77777777" w:rsidR="009D0D2F" w:rsidRPr="009D0D2F" w:rsidRDefault="009D0D2F" w:rsidP="009D0D2F">
      <w:pPr>
        <w:numPr>
          <w:ilvl w:val="0"/>
          <w:numId w:val="7"/>
        </w:numPr>
      </w:pPr>
      <w:r w:rsidRPr="009D0D2F">
        <w:rPr>
          <w:b/>
          <w:bCs/>
        </w:rPr>
        <w:t>Riesgo de Información:</w:t>
      </w:r>
      <w:r w:rsidRPr="009D0D2F">
        <w:t xml:space="preserve"> Se asume que los estados financieros auditados reflejan fielmente la realidad de la empresa, aunque esto no garantiza rendimientos futuros.</w:t>
      </w:r>
    </w:p>
    <w:p w14:paraId="527D0F63" w14:textId="77777777" w:rsidR="009D0D2F" w:rsidRPr="009D0D2F" w:rsidRDefault="009D0D2F" w:rsidP="009D0D2F">
      <w:pPr>
        <w:numPr>
          <w:ilvl w:val="0"/>
          <w:numId w:val="7"/>
        </w:numPr>
      </w:pPr>
      <w:r w:rsidRPr="009D0D2F">
        <w:rPr>
          <w:b/>
          <w:bCs/>
        </w:rPr>
        <w:t>Impacto de los Costos:</w:t>
      </w:r>
      <w:r w:rsidRPr="009D0D2F">
        <w:t xml:space="preserve"> Ignorar las comisiones y gastos de administración puede transformar una inversión nominalmente ganadora en una pérdida real.</w:t>
      </w:r>
    </w:p>
    <w:p w14:paraId="12A1DDBA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5779"/>
    <w:multiLevelType w:val="multilevel"/>
    <w:tmpl w:val="E93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C6EE0"/>
    <w:multiLevelType w:val="multilevel"/>
    <w:tmpl w:val="B8E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04E66"/>
    <w:multiLevelType w:val="multilevel"/>
    <w:tmpl w:val="CEB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66B7E"/>
    <w:multiLevelType w:val="multilevel"/>
    <w:tmpl w:val="22BE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17BFE"/>
    <w:multiLevelType w:val="multilevel"/>
    <w:tmpl w:val="34F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8280F"/>
    <w:multiLevelType w:val="multilevel"/>
    <w:tmpl w:val="28A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C5191"/>
    <w:multiLevelType w:val="multilevel"/>
    <w:tmpl w:val="D8A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095059">
    <w:abstractNumId w:val="1"/>
  </w:num>
  <w:num w:numId="2" w16cid:durableId="537544660">
    <w:abstractNumId w:val="6"/>
  </w:num>
  <w:num w:numId="3" w16cid:durableId="1943487141">
    <w:abstractNumId w:val="2"/>
  </w:num>
  <w:num w:numId="4" w16cid:durableId="1560628966">
    <w:abstractNumId w:val="3"/>
  </w:num>
  <w:num w:numId="5" w16cid:durableId="1309020293">
    <w:abstractNumId w:val="0"/>
  </w:num>
  <w:num w:numId="6" w16cid:durableId="626935271">
    <w:abstractNumId w:val="5"/>
  </w:num>
  <w:num w:numId="7" w16cid:durableId="1789934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C9"/>
    <w:rsid w:val="000416D4"/>
    <w:rsid w:val="00071C90"/>
    <w:rsid w:val="000D1EDE"/>
    <w:rsid w:val="00320D26"/>
    <w:rsid w:val="00414AB1"/>
    <w:rsid w:val="006473F9"/>
    <w:rsid w:val="00736F93"/>
    <w:rsid w:val="009D0D2F"/>
    <w:rsid w:val="00C3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31C12"/>
  <w15:chartTrackingRefBased/>
  <w15:docId w15:val="{5C3ACC9C-B4EB-4A5A-B79A-1E50D953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0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0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0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1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1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1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1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1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1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1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1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1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1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764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2026-05-06T20:14:00Z</dcterms:created>
  <dcterms:modified xsi:type="dcterms:W3CDTF">2026-05-06T20:15:00Z</dcterms:modified>
</cp:coreProperties>
</file>