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214" w:type="dxa"/>
        <w:tblInd w:w="-147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2106"/>
        <w:gridCol w:w="7108"/>
      </w:tblGrid>
      <w:tr w:rsidR="00621E1B" w14:paraId="57E4373B" w14:textId="77777777" w:rsidTr="00855F33">
        <w:tc>
          <w:tcPr>
            <w:tcW w:w="1190" w:type="dxa"/>
          </w:tcPr>
          <w:p w14:paraId="5D781671" w14:textId="033F66DE" w:rsidR="00591ECA" w:rsidRDefault="005B55E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451BB1" wp14:editId="6C76DBA4">
                  <wp:extent cx="1196340" cy="844951"/>
                  <wp:effectExtent l="0" t="0" r="3810" b="0"/>
                  <wp:docPr id="1824590910" name="Imagen 4" descr="Logo UPN: evolución, significado y descarga del logotipo oficial 2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PN: evolución, significado y descarga del logotipo oficial 2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108" cy="858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alibri" w:hAnsi="Calibri"/>
                <w:b/>
                <w:color w:val="1F4E79"/>
                <w:sz w:val="17"/>
              </w:rPr>
              <w:t>UNIVERSIDAD PRIVADA DEL NORTE</w:t>
            </w:r>
            <w:r w:rsidR="00000000">
              <w:rPr>
                <w:rFonts w:ascii="Calibri" w:hAnsi="Calibri"/>
                <w:b/>
                <w:color w:val="1F4E79"/>
                <w:sz w:val="17"/>
              </w:rPr>
              <w:br/>
              <w:t>FACULTAD DE INGENIERÍA</w:t>
            </w:r>
            <w:r w:rsidR="00000000">
              <w:rPr>
                <w:rFonts w:ascii="Calibri" w:hAnsi="Calibri"/>
                <w:b/>
                <w:color w:val="1F4E79"/>
                <w:sz w:val="17"/>
              </w:rPr>
              <w:br/>
            </w:r>
            <w:r w:rsidR="00000000">
              <w:rPr>
                <w:rFonts w:ascii="Calibri" w:hAnsi="Calibri"/>
                <w:color w:val="64748B"/>
                <w:sz w:val="15"/>
              </w:rPr>
              <w:t>Ingeniería de Sistemas Computacionales</w:t>
            </w:r>
            <w:r w:rsidR="00000000">
              <w:rPr>
                <w:rFonts w:ascii="Calibri" w:hAnsi="Calibri"/>
                <w:color w:val="64748B"/>
                <w:sz w:val="15"/>
              </w:rPr>
              <w:br/>
              <w:t>Proyecto Capstone 2026-II</w:t>
            </w:r>
          </w:p>
        </w:tc>
        <w:tc>
          <w:tcPr>
            <w:tcW w:w="8024" w:type="dxa"/>
            <w:shd w:val="clear" w:color="auto" w:fill="4BACC6" w:themeFill="accent5"/>
            <w:vAlign w:val="center"/>
          </w:tcPr>
          <w:p w14:paraId="6301D20D" w14:textId="77777777" w:rsidR="00591ECA" w:rsidRDefault="00000000">
            <w:pPr>
              <w:jc w:val="center"/>
            </w:pPr>
            <w:r>
              <w:rPr>
                <w:rFonts w:ascii="Calibri" w:hAnsi="Calibri"/>
                <w:b/>
                <w:color w:val="1F4E79"/>
                <w:sz w:val="26"/>
              </w:rPr>
              <w:t>DOCUMENTO DE MÉTRICAS DE CALIDAD</w:t>
            </w:r>
            <w:r>
              <w:rPr>
                <w:rFonts w:ascii="Calibri" w:hAnsi="Calibri"/>
                <w:b/>
                <w:color w:val="1F4E79"/>
                <w:sz w:val="26"/>
              </w:rPr>
              <w:br/>
            </w:r>
            <w:r>
              <w:rPr>
                <w:rFonts w:ascii="Calibri" w:hAnsi="Calibri"/>
                <w:color w:val="475569"/>
                <w:sz w:val="17"/>
              </w:rPr>
              <w:t>Estándares ISO/IEC 25010 (Software) &amp; ISO/IEC 25012 (Datos) | Variable Dependiente</w:t>
            </w:r>
            <w:r>
              <w:rPr>
                <w:rFonts w:ascii="Calibri" w:hAnsi="Calibri"/>
                <w:color w:val="475569"/>
                <w:sz w:val="17"/>
              </w:rPr>
              <w:br/>
              <w:t>Impresos Trujillo E.I.R.L. — Semana 07 (Sprint 4)</w:t>
            </w:r>
          </w:p>
        </w:tc>
      </w:tr>
    </w:tbl>
    <w:p w14:paraId="6927AB99" w14:textId="77777777" w:rsidR="00591ECA" w:rsidRDefault="00000000">
      <w:pPr>
        <w:spacing w:before="160" w:after="40"/>
      </w:pPr>
      <w:r>
        <w:rPr>
          <w:rFonts w:ascii="Calibri" w:hAnsi="Calibri"/>
          <w:b/>
          <w:color w:val="1F4E79"/>
        </w:rPr>
        <w:t>1. Instrucciones Generales y Alcance Metodológico</w:t>
      </w:r>
    </w:p>
    <w:p w14:paraId="31EEEC44" w14:textId="77777777" w:rsidR="00591ECA" w:rsidRDefault="00000000">
      <w:pPr>
        <w:spacing w:after="120"/>
      </w:pPr>
      <w:r>
        <w:rPr>
          <w:rFonts w:ascii="Calibri" w:hAnsi="Calibri"/>
          <w:sz w:val="19"/>
        </w:rPr>
        <w:t>El presente documento define los atributos, indicadores cuantitativos y criterios formales de medición que serán evaluados a lo largo del ciclo de vida del proyecto 'Implementación de un sistema web transaccional con módulos de inteligencia de negocios e inteligencia artificial para la optimización de los procesos operativos en la empresa Impresos Trujillo E.I.R.L.'.</w:t>
      </w:r>
      <w:r>
        <w:rPr>
          <w:rFonts w:ascii="Calibri" w:hAnsi="Calibri"/>
          <w:sz w:val="19"/>
        </w:rPr>
        <w:br/>
      </w:r>
      <w:r>
        <w:rPr>
          <w:rFonts w:ascii="Calibri" w:hAnsi="Calibri"/>
          <w:sz w:val="19"/>
        </w:rPr>
        <w:br/>
        <w:t>El marco evaluativo se estructura en dos dimensiones articuladas: (1) Calidad del Producto Software bajo los estándares internacionales ISO/IEC 25010 (adecuación funcional, rendimiento, mantenibilidad, seguridad y usabilidad) e ISO/IEC 25012 (calidad del dataset histórico de boletas); y (2) Desempeño Operativo de la Variable Dependiente (VD: Procesos Operativos), midiendo la optimización en tiempos de atención, control de mermas en bobinas continuas (UV DTF / Lona) y planchas (MDF), y efectividad de recaudación en caja sin fugas de saldos.</w:t>
      </w:r>
    </w:p>
    <w:p w14:paraId="35EAC4D2" w14:textId="77777777" w:rsidR="00591ECA" w:rsidRDefault="00000000">
      <w:pPr>
        <w:spacing w:before="160" w:after="40"/>
      </w:pPr>
      <w:r>
        <w:rPr>
          <w:rFonts w:ascii="Calibri" w:hAnsi="Calibri"/>
          <w:b/>
          <w:color w:val="1F4E79"/>
        </w:rPr>
        <w:t>2. Métricas de Calidad para el Producto Software (ISO/IEC 25010 &amp; ISO/IEC 25012)</w:t>
      </w:r>
    </w:p>
    <w:p w14:paraId="0A8D7725" w14:textId="77777777" w:rsidR="00591ECA" w:rsidRDefault="00000000">
      <w:pPr>
        <w:spacing w:after="120"/>
      </w:pPr>
      <w:r>
        <w:rPr>
          <w:rFonts w:ascii="Calibri" w:hAnsi="Calibri"/>
          <w:sz w:val="19"/>
        </w:rPr>
        <w:t>Conforme a los lineamientos institucionales de la cátedra de Capstone Project, se seleccionan y operacionalizan seis (06) métricas de calidad de software rigurosas, cubriendo características críticas de calidad del sistema contenerizado desplegado en el VPS de producción: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73"/>
        <w:gridCol w:w="6332"/>
      </w:tblGrid>
      <w:tr w:rsidR="00591ECA" w14:paraId="214EF9C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0208B8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2B957FA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M-PROD-01: Completitud Funcional del Software (NIF)</w:t>
            </w:r>
          </w:p>
        </w:tc>
      </w:tr>
      <w:tr w:rsidR="00591ECA" w14:paraId="06DB22DC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DD0B4B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7AB1822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Medir el grado de cobertura e implementación efectiva de las funcionalidades especificadas en el Agile Product Backlog oficial (10 Historias de Usuario: HU-01 a HU-10) y requerimientos del SRS IEEE 830.</w:t>
            </w:r>
          </w:p>
        </w:tc>
      </w:tr>
      <w:tr w:rsidR="00591ECA" w14:paraId="7AF725F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FD4FBCF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48CCFC4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Inspección técnica de criterios de aceptación Definition of Done (DoD) y ejecución de suites de pruebas automatizadas en frontend y backend ante cada incremento semanal de sprint.</w:t>
            </w:r>
          </w:p>
        </w:tc>
      </w:tr>
      <w:tr w:rsidR="00591ECA" w14:paraId="4E3F723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677ECA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71BE11BD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NIF = NFF / NFD</w:t>
            </w:r>
          </w:p>
          <w:p w14:paraId="23BB687D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67A43B61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NIF: Nivel de Implementación de Funcionalidades (proporción adimensional).</w:t>
            </w:r>
          </w:p>
          <w:p w14:paraId="2286EC61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NFF: Número de funcionalidades e Historias de Usuario completamente implementadas, desplegadas en VPS y aceptadas bajo criterios DoD.</w:t>
            </w:r>
          </w:p>
          <w:p w14:paraId="2D270D8C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NFD: Número total de funcionalidades especificadas en el Product Backlog (10 Historias de Usuario base).</w:t>
            </w:r>
          </w:p>
        </w:tc>
      </w:tr>
      <w:tr w:rsidR="00591ECA" w14:paraId="34B985B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30CED29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51F3278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La métrica oscila entre 0.0 y 1.0 (óptimo = 1.00).</w:t>
            </w:r>
          </w:p>
          <w:p w14:paraId="7840DDD4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NIF &lt; 0.70: Nivel de avance crítico con riesgo de retraso en hitos de cátedra.</w:t>
            </w:r>
          </w:p>
          <w:p w14:paraId="6B8B0227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0.70 &lt;= NIF &lt; 0.90: Implementación intermedia con incremento funcional estable.</w:t>
            </w:r>
          </w:p>
          <w:p w14:paraId="4EDE80FD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NIF &gt;= 0.90: Nivel de completitud sobresaliente para fase de producción UAT.</w:t>
            </w:r>
          </w:p>
          <w:p w14:paraId="49073643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NIF = 8 / 10 = 0.80 (80.0% completado, cubriendo HU-01 a HU-08 completamente funcionales, HU-09 Dashboard BI implementado al 80% y HU-10 Modelo IA con pipeline preliminar).</w:t>
            </w:r>
          </w:p>
        </w:tc>
      </w:tr>
      <w:tr w:rsidR="00591ECA" w14:paraId="5A6D7007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C4B0A4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75D729D9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Absoluta: 0.0 &lt;= NIF &lt;= 1.0 (o porcentual: 0% a 100%)</w:t>
            </w:r>
          </w:p>
        </w:tc>
      </w:tr>
      <w:tr w:rsidR="00591ECA" w14:paraId="5CB1CFE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36FA2A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5CC06A10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racional / continua</w:t>
            </w:r>
          </w:p>
        </w:tc>
      </w:tr>
      <w:tr w:rsidR="00591ECA" w14:paraId="6839026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C811CC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lastRenderedPageBreak/>
              <w:t>Fuentes de datos</w:t>
            </w:r>
          </w:p>
        </w:tc>
        <w:tc>
          <w:tcPr>
            <w:tcW w:w="6480" w:type="dxa"/>
            <w:vAlign w:val="center"/>
          </w:tcPr>
          <w:p w14:paraId="70397B3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Agile Product Backlog priorizado, SRS IEEE 830 y Actas de Aceptación de Entregables (AAE-01 y AAE-02).</w:t>
            </w:r>
          </w:p>
        </w:tc>
      </w:tr>
    </w:tbl>
    <w:p w14:paraId="6E1D714B" w14:textId="77777777" w:rsidR="00591ECA" w:rsidRDefault="00591ECA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6"/>
        <w:gridCol w:w="6339"/>
      </w:tblGrid>
      <w:tr w:rsidR="00591ECA" w14:paraId="1E0850B8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A904892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0C3D12D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M-PROD-02: Tiempo Medio de Respuesta de API REST (TMRA)</w:t>
            </w:r>
          </w:p>
        </w:tc>
      </w:tr>
      <w:tr w:rsidR="00591ECA" w14:paraId="1758CBC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00D666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5D1F5DA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Cuantificar la latencia y eficiencia temporal de respuesta de los endpoints transaccionales y analíticos en FastAPI orquestados en Docker Compose ante peticiones concurrentes desde el frontend Angular 21.</w:t>
            </w:r>
          </w:p>
        </w:tc>
      </w:tr>
      <w:tr w:rsidR="00591ECA" w14:paraId="40B747CE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48D56C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7D47A5F9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Monitoreo automatizado mediante middleware de profiling en FastAPI y pruebas de carga con benchmark HTTP registrando la latencia en percentil 95 (p95) sobre entorno de VPS.</w:t>
            </w:r>
          </w:p>
        </w:tc>
      </w:tr>
      <w:tr w:rsidR="00591ECA" w14:paraId="21D5DB1F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24A7789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0DD8AA79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TMRA = (∑ ti) / N</w:t>
            </w:r>
          </w:p>
          <w:p w14:paraId="4C10A66B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35CD3522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TMRA: Tiempo Medio de Respuesta de la API (expresado en milisegundos, ms).</w:t>
            </w:r>
          </w:p>
          <w:p w14:paraId="1C7C2029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ti: Tiempo transcurrido desde la recepción del request HTTP hasta la emisión completa del response de la transacción i.</w:t>
            </w:r>
          </w:p>
          <w:p w14:paraId="60EA9152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N: Muestra total de peticiones evaluadas en la sesión de prueba de carga (N = 500 requests).</w:t>
            </w:r>
          </w:p>
        </w:tc>
      </w:tr>
      <w:tr w:rsidR="00591ECA" w14:paraId="41EE8AEC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443F00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5D5D20FA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El valor óptimo es el menor tiempo posible sin degradación transaccional ACID:</w:t>
            </w:r>
          </w:p>
          <w:p w14:paraId="58C6F321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TMRA &lt;= 100 ms: Rendimiento excelente (experiencia de usuario fluida e instantánea en mostrador).</w:t>
            </w:r>
          </w:p>
          <w:p w14:paraId="636A30CC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100 ms &lt; TMRA &lt;= 300 ms: Rendimiento aceptable conforme al estándar web para operaciones de consulta y corte.</w:t>
            </w:r>
          </w:p>
          <w:p w14:paraId="7BDEECF4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TMRA &gt; 300 ms: Alerta de degradación que exige optimización de índices relacionales en PostgreSQL 17.</w:t>
            </w:r>
          </w:p>
          <w:p w14:paraId="32354D98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TMRA = 42.5 ms en endpoints transaccionales y 68.0 ms en endpoints analíticos de BI (/api/bi/resumen-ventas y /api/bi/consumo-mermas).</w:t>
            </w:r>
          </w:p>
        </w:tc>
      </w:tr>
      <w:tr w:rsidR="00591ECA" w14:paraId="1C57AD0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7545D3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7A8A07B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Racional continua: TMRA &gt; 0 ms</w:t>
            </w:r>
          </w:p>
        </w:tc>
      </w:tr>
      <w:tr w:rsidR="00591ECA" w14:paraId="4A4A5E9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A950D5A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732E178D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continua (milisegundos)</w:t>
            </w:r>
          </w:p>
        </w:tc>
      </w:tr>
      <w:tr w:rsidR="00591ECA" w14:paraId="724F8AE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21C26D1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2D09F6D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Logs de acceso de Nginx (/var/log/nginx/access.log), métricas de latencia de FastAPI y consola de red DevTools de Chrome.</w:t>
            </w:r>
          </w:p>
        </w:tc>
      </w:tr>
    </w:tbl>
    <w:p w14:paraId="70913A07" w14:textId="77777777" w:rsidR="00591ECA" w:rsidRDefault="00591ECA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7"/>
        <w:gridCol w:w="6338"/>
      </w:tblGrid>
      <w:tr w:rsidR="00591ECA" w14:paraId="3F37A1C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E6C04A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60FC042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M-PROD-03: Cobertura de Pruebas Automatizadas de Código (CPA)</w:t>
            </w:r>
          </w:p>
        </w:tc>
      </w:tr>
      <w:tr w:rsidR="00591ECA" w14:paraId="1E7893C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44570A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06FFCD6D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Evaluar la testabilidad, estabilidad estructural y ausencia de deuda técnica en el código fuente de backend y frontend mediante suites de pruebas automatizadas en el pipeline de Integración Continua (CI/CD).</w:t>
            </w:r>
          </w:p>
        </w:tc>
      </w:tr>
      <w:tr w:rsidR="00591ECA" w14:paraId="38298DD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2C9460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4E9152FD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Ejecución desatendida del runner pytest con pytest-cov en backend y Karma/Vitest con reporte lcov en Angular 21 durante el workflow de GitHub Actions (.github/workflows/ci.yml).</w:t>
            </w:r>
          </w:p>
        </w:tc>
      </w:tr>
      <w:tr w:rsidR="00591ECA" w14:paraId="3326BB1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D32B04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0CA2028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CPA = (Líneas de Código Ejecutadas en Tests / Total de Líneas de Código Ejecutables) * 100%</w:t>
            </w:r>
          </w:p>
          <w:p w14:paraId="3E47508E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50EA1FD1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CPA: Porcentaje de Cobertura de Pruebas Automatizadas.</w:t>
            </w:r>
          </w:p>
          <w:p w14:paraId="40D372A9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Numerador: Líneas efectivas recorridas por los 387 casos de prueba (105 pytest + 282 Karma/Vitest).</w:t>
            </w:r>
          </w:p>
          <w:p w14:paraId="0AE2A027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Denominador: Total de sentencias lógicas en servicios de negocio, guards y endpoints.</w:t>
            </w:r>
          </w:p>
        </w:tc>
      </w:tr>
      <w:tr w:rsidR="00591ECA" w14:paraId="4CC7CB6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FE3CFF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11AE57E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CPA &lt; 60%: Cobertura deficiente con alta propensión a regresiones inadvertidas.</w:t>
            </w:r>
          </w:p>
          <w:p w14:paraId="686F07AA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60% &lt;= CPA &lt; 80%: Cobertura moderada aceptable para prototipos rápidos.</w:t>
            </w:r>
          </w:p>
          <w:p w14:paraId="0686014B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• CPA &gt;= 80%: Cobertura robusta que garantiza mantenibilidad y fiabilidad en producción.</w:t>
            </w:r>
          </w:p>
          <w:p w14:paraId="5DEC4960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CPA Backend = 88.4% (105 pruebas pasando, 0 fallos); CPA Frontend = 85.2% (282 pruebas pasando, 0 fallos). Cobertura consolidada = 86.8% con 0% deuda técnica.</w:t>
            </w:r>
          </w:p>
        </w:tc>
      </w:tr>
      <w:tr w:rsidR="00591ECA" w14:paraId="4CB4665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7D22A79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lastRenderedPageBreak/>
              <w:t>Escala</w:t>
            </w:r>
          </w:p>
        </w:tc>
        <w:tc>
          <w:tcPr>
            <w:tcW w:w="6480" w:type="dxa"/>
            <w:vAlign w:val="center"/>
          </w:tcPr>
          <w:p w14:paraId="44B41C74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Porcentual: 0% &lt;= CPA &lt;= 100%</w:t>
            </w:r>
          </w:p>
        </w:tc>
      </w:tr>
      <w:tr w:rsidR="00591ECA" w14:paraId="7641770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FC69CB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4176665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porcentual</w:t>
            </w:r>
          </w:p>
        </w:tc>
      </w:tr>
      <w:tr w:rsidR="00591ECA" w14:paraId="338E7C3B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880AD7F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0B8CCC8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Reportes de cobertura de pytest-cov, informe de coverage en lcov/Karma y log de GitHub Actions Run #49.</w:t>
            </w:r>
          </w:p>
        </w:tc>
      </w:tr>
    </w:tbl>
    <w:p w14:paraId="7C40B793" w14:textId="77777777" w:rsidR="00591ECA" w:rsidRDefault="00591ECA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6"/>
        <w:gridCol w:w="6339"/>
      </w:tblGrid>
      <w:tr w:rsidR="00591ECA" w14:paraId="255F8E4D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9CF81E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08B8674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M-PROD-04: Efectividad del Candado Digital y Control de Acceso RBAC (ECAC)</w:t>
            </w:r>
          </w:p>
        </w:tc>
      </w:tr>
      <w:tr w:rsidR="00591ECA" w14:paraId="08650716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DE2E29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641B5A5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Verificar la inviolabilidad del candado digital de cobro (inhabilitación física y lógica de la entrega si existe saldo &gt; 0 o pago observado por 'Yape falso') y el aislamiento de privilegios de usuario (RBAC) con tokens criptográficos JWT.</w:t>
            </w:r>
          </w:p>
        </w:tc>
      </w:tr>
      <w:tr w:rsidR="00591ECA" w14:paraId="677CF59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6CD7DCF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3460251F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Batería de pruebas de seguridad automatizadas simulando peticiones maliciosas que intentan despachar órdenes con saldo impago (bypass de frontend e inyecciones directas a /api/ordenes/{id}/entregar).</w:t>
            </w:r>
          </w:p>
        </w:tc>
      </w:tr>
      <w:tr w:rsidR="00591ECA" w14:paraId="070C852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FE5BDAD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6BAA754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ECAC = 1 - (Intentos No Autorizados Exitosos / Total de Intentos de Evasión Ejecutados)</w:t>
            </w:r>
          </w:p>
          <w:p w14:paraId="05631AEA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460C33F0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ECAC: Índice de Efectividad del Candado de Seguridad (valor óptimo = 1.00 o 100%).</w:t>
            </w:r>
          </w:p>
          <w:p w14:paraId="5D31491D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Numerador: Número de intentos indebidos que lograron saltarse el bloqueo de cobro (debe ser 0).</w:t>
            </w:r>
          </w:p>
          <w:p w14:paraId="46CECFF3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Denominador: Total de vectores de evasión ejecutados en la suite de seguridad (50 casos de prueba).</w:t>
            </w:r>
          </w:p>
        </w:tc>
      </w:tr>
      <w:tr w:rsidR="00591ECA" w14:paraId="0277234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65C1364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156092F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ECAC = 1.00 (100%): Sistema inviolable frente a órdenes no liquidadas o roles no autorizados.</w:t>
            </w:r>
          </w:p>
          <w:p w14:paraId="34F3951B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ECAC &lt; 1.00: Falla crítica de seguridad que detiene inmediatamente el pipeline de despliegue.</w:t>
            </w:r>
          </w:p>
          <w:p w14:paraId="7FABF230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ECAC = 1.00 (100% de efectividad). Se ejecutaron 50 intentos automatizados de entrega indebida y bypass de tokens, siendo el 100% rechazados con código HTTP 403 Forbidden o 422 Unprocessable Entity.</w:t>
            </w:r>
          </w:p>
        </w:tc>
      </w:tr>
      <w:tr w:rsidR="00591ECA" w14:paraId="26F35B6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F91672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782E655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Absoluta: 0.0 &lt;= ECAC &lt;= 1.0</w:t>
            </w:r>
          </w:p>
        </w:tc>
      </w:tr>
      <w:tr w:rsidR="00591ECA" w14:paraId="5FD9CFF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10573E0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293B37D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racional / binaria</w:t>
            </w:r>
          </w:p>
        </w:tc>
      </w:tr>
      <w:tr w:rsidR="00591ECA" w14:paraId="165B8747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20B9AD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5240ADE2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Suite de pruebas de backend test_seguridad.py, test_caja.py y logs de auditoría transaccional de PostgreSQL.</w:t>
            </w:r>
          </w:p>
        </w:tc>
      </w:tr>
    </w:tbl>
    <w:p w14:paraId="50616FE8" w14:textId="77777777" w:rsidR="00591ECA" w:rsidRDefault="00591ECA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72"/>
        <w:gridCol w:w="6333"/>
      </w:tblGrid>
      <w:tr w:rsidR="00591ECA" w14:paraId="0FFA13DB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50EEB3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6861EE2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M-PROD-05: Índice de Usabilidad del Sistema (Escala SUS)</w:t>
            </w:r>
          </w:p>
        </w:tc>
      </w:tr>
      <w:tr w:rsidR="00591ECA" w14:paraId="2FC74D1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7D86931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14482BD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Evaluar la aprendibilidad, operabilidad, claridad visual y satisfacción de interacción del sistema web en los operadores de caja y taller de Impresos Trujillo E.I.R.L. mediante el instrumento estandarizado SUS.</w:t>
            </w:r>
          </w:p>
        </w:tc>
      </w:tr>
      <w:tr w:rsidR="00591ECA" w14:paraId="07FEA6E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BE5781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7D3C290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Aplicación del cuestionario estandarizado System Usability Scale (SUS) de 10 reactivos en escala Likert (1 a 5) a una muestra de 5 operadores de la imprenta tras completar tareas de cotización, arqueo y corte.</w:t>
            </w:r>
          </w:p>
        </w:tc>
      </w:tr>
      <w:tr w:rsidR="00591ECA" w14:paraId="3C7FF11B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F555F41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19342612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SUS = 2.5 * [ ∑ (Ri - 1) para i impares + ∑ (5 - Rj) para j pares ]</w:t>
            </w:r>
          </w:p>
          <w:p w14:paraId="00A531C5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5C731301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• SUS: Puntuación estandarizada global de usabilidad en una escala de 0 a 100 puntos.</w:t>
            </w:r>
          </w:p>
          <w:p w14:paraId="45ACEF4C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Ri: Respuesta asignada a los ítems positivos con formulación favorable (ítems 1, 3, 5, 7, 9).</w:t>
            </w:r>
          </w:p>
          <w:p w14:paraId="16650510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Rj: Respuesta asignada a los ítems negativos con formulación desfavorable (ítems 2, 4, 6, 8, 10).</w:t>
            </w:r>
          </w:p>
        </w:tc>
      </w:tr>
      <w:tr w:rsidR="00591ECA" w14:paraId="7AEB3CA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3517ECA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lastRenderedPageBreak/>
              <w:t>Interpretación de la métrica</w:t>
            </w:r>
          </w:p>
        </w:tc>
        <w:tc>
          <w:tcPr>
            <w:tcW w:w="6480" w:type="dxa"/>
            <w:vAlign w:val="center"/>
          </w:tcPr>
          <w:p w14:paraId="3879C70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Conforme al modelo de aceptabilidad de Brooke (1996) y Bangor et al. (2008):</w:t>
            </w:r>
          </w:p>
          <w:p w14:paraId="32D52180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SUS &lt; 50.0: Nivel no aceptable (alta fricción cognitiva en mostrador/taller).</w:t>
            </w:r>
          </w:p>
          <w:p w14:paraId="3572E9B1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50.0 &lt;= SUS &lt; 70.0: Nivel marginal (requiere rediseño de flujos y etiquetas).</w:t>
            </w:r>
          </w:p>
          <w:p w14:paraId="147BFC00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70.0 &lt;= SUS &lt; 85.0: Nivel aceptable / Bueno (interfaz ergonómica y fácil de usar).</w:t>
            </w:r>
          </w:p>
          <w:p w14:paraId="737F5786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SUS &gt;= 85.0: Nivel excelente (calificación grado 'A' en usabilidad de software).</w:t>
            </w:r>
          </w:p>
          <w:p w14:paraId="774DB37A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SUS = 82.5 puntos (Calificación Grado B+ / Excelente Usabilidad). Los usuarios destacaron la inmediatez del botón de Venta Rápida y la alerta visual del candado de cobro.</w:t>
            </w:r>
          </w:p>
        </w:tc>
      </w:tr>
      <w:tr w:rsidR="00591ECA" w14:paraId="1582CFE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D823A0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77F88E9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Ordinal estandarizada: 0 &lt;= SUS &lt;= 100 puntos</w:t>
            </w:r>
          </w:p>
        </w:tc>
      </w:tr>
      <w:tr w:rsidR="00591ECA" w14:paraId="792F7376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66DDE5A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4FF806F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escalar continua</w:t>
            </w:r>
          </w:p>
        </w:tc>
      </w:tr>
      <w:tr w:rsidR="00591ECA" w14:paraId="775989D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C6D783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7EAABE7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Ficha Técnica de Cuestionario SUS (Instrumento 4 de Práctica de Campo I) aplicado in situ en el taller gráfico.</w:t>
            </w:r>
          </w:p>
        </w:tc>
      </w:tr>
    </w:tbl>
    <w:p w14:paraId="4109AFFB" w14:textId="77777777" w:rsidR="00591ECA" w:rsidRDefault="00591ECA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1"/>
        <w:gridCol w:w="6344"/>
      </w:tblGrid>
      <w:tr w:rsidR="00591ECA" w14:paraId="0804FEC8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BB116E9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43C8C39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M-PROD-06: Tasa de Completitud y Consistencia de Datos Históricos (TCCD)</w:t>
            </w:r>
          </w:p>
        </w:tc>
      </w:tr>
      <w:tr w:rsidR="00591ECA" w14:paraId="4E679877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2AF009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4EB69B10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Evaluar la calidad, consistencia y completitud del dataset estructurado de boletas físicas y órdenes de trabajo anteriores (DATASET-BOLETAS-v1.csv) para asegurar la precisión del módulo de BI y el entrenamiento del modelo de IA.</w:t>
            </w:r>
          </w:p>
        </w:tc>
      </w:tr>
      <w:tr w:rsidR="00591ECA" w14:paraId="5D57876C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750FD6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791608A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Ejecución de un script automatizado de validación de reglas de datos (Data Quality Pipeline en Python/Pandas) sobre los 152 registros digitalizados, verificando ausencia de valores nulos y congruencia de tipos.</w:t>
            </w:r>
          </w:p>
        </w:tc>
      </w:tr>
      <w:tr w:rsidR="00591ECA" w14:paraId="648CCC9D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1F32B7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68D6C639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TCCD = (Registros Válidos sin Inconsistencias / Total de Registros Evaluados en el Dataset) * 100%</w:t>
            </w:r>
          </w:p>
          <w:p w14:paraId="127F64AF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3C464E3D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TCCD: Tasa de Calidad y Consistencia del Dataset Histórico (%).</w:t>
            </w:r>
          </w:p>
          <w:p w14:paraId="70344AA1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Numerador: Registros que cumplen reglas de integridad (fecha válida, importe &gt; 0, anticipo + saldo = total, m² calculable y tipo de material normalizado).</w:t>
            </w:r>
          </w:p>
          <w:p w14:paraId="212005D7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Denominador: Total de registros digitalizados a partir de los comprobantes físicos (152 órdenes).</w:t>
            </w:r>
          </w:p>
        </w:tc>
      </w:tr>
      <w:tr w:rsidR="00591ECA" w14:paraId="4C1BD780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8929621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7A96237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TCCD &lt; 85%: Dataset no apto para modelado predictivo (alto riesgo de alucinación o sesgo en IA).</w:t>
            </w:r>
          </w:p>
          <w:p w14:paraId="6CDB5DE6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85% &lt;= TCCD &lt; 95%: Dataset aceptable pero requiere imputación de valores faltantes.</w:t>
            </w:r>
          </w:p>
          <w:p w14:paraId="36AE4075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TCCD &gt;= 95%: Dataset de alta calidad conforme a la norma ISO/IEC 25012 (calidad de datos intrínseca).</w:t>
            </w:r>
          </w:p>
          <w:p w14:paraId="55EBA4BD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TCCD = 97.37% (148 registros 100% limpios y consistentes de 152 procesados, con 4 registros históricos imputados por deterioro físico de la tinta original).</w:t>
            </w:r>
          </w:p>
        </w:tc>
      </w:tr>
      <w:tr w:rsidR="00591ECA" w14:paraId="1F202C5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327387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72AE2DC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Porcentual: 0% &lt;= TCCD &lt;= 100%</w:t>
            </w:r>
          </w:p>
        </w:tc>
      </w:tr>
      <w:tr w:rsidR="00591ECA" w14:paraId="3199AE0E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0523D8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5E1047A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porcentual</w:t>
            </w:r>
          </w:p>
        </w:tc>
      </w:tr>
      <w:tr w:rsidR="00591ECA" w14:paraId="4073CC1C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FB72780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6073403A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Dataset estructurado DATASET-BOLETAS-v1.csv y reporte generado por scripts/validar_dataset_calidad.py.</w:t>
            </w:r>
          </w:p>
        </w:tc>
      </w:tr>
    </w:tbl>
    <w:p w14:paraId="356A1C40" w14:textId="77777777" w:rsidR="00591ECA" w:rsidRDefault="00591ECA">
      <w:pPr>
        <w:spacing w:after="120"/>
      </w:pPr>
    </w:p>
    <w:p w14:paraId="42CA8111" w14:textId="77777777" w:rsidR="00591ECA" w:rsidRDefault="00000000">
      <w:pPr>
        <w:spacing w:before="160" w:after="40"/>
      </w:pPr>
      <w:r>
        <w:rPr>
          <w:rFonts w:ascii="Calibri" w:hAnsi="Calibri"/>
          <w:b/>
          <w:color w:val="1F4E79"/>
        </w:rPr>
        <w:t>3. Métricas de Calidad para la Variable Dependiente (VD: Procesos Operativos)</w:t>
      </w:r>
    </w:p>
    <w:p w14:paraId="6DC63D65" w14:textId="77777777" w:rsidR="00591ECA" w:rsidRDefault="00000000">
      <w:pPr>
        <w:spacing w:after="120"/>
      </w:pPr>
      <w:r>
        <w:rPr>
          <w:rFonts w:ascii="Calibri" w:hAnsi="Calibri"/>
          <w:sz w:val="19"/>
        </w:rPr>
        <w:lastRenderedPageBreak/>
        <w:t>La Variable Dependiente (VD) de la investigación corresponde a la 'Optimización de los Procesos Operativos en la empresa Impresos Trujillo E.I.R.L.'. Para evidenciar el impacto técnico y operacional de la solución tecnológica implementada, se definen tres (03) métricas operacionales directamente articuladas a sus dimensiones e hipótesis específicas: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8"/>
        <w:gridCol w:w="6337"/>
      </w:tblGrid>
      <w:tr w:rsidR="00591ECA" w14:paraId="545B0B57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92E2BD2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2B54194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M-VD-01: Tiempo Medio del Ciclo de Cotización y Venta de Mostrador (TMCCV)</w:t>
            </w:r>
          </w:p>
        </w:tc>
      </w:tr>
      <w:tr w:rsidR="00591ECA" w14:paraId="73435F6B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3CEF22E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752DA5ED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Medir el impacto de la solución tecnológica en la reducción del tiempo requerido para recepcionar la solicitud del cliente, cotizar según recetas métricas (m²), registrar el anticipo del 50% y emitir el ticket con numeración correlativa única.</w:t>
            </w:r>
          </w:p>
        </w:tc>
      </w:tr>
      <w:tr w:rsidR="00591ECA" w14:paraId="3FD77CBC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AB0827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608A9733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Cronometraje directo in situ (Ficha Técnica de Registro de Tiempos Pretest y Postest) durante 30 órdenes de atención de mostrador en ventanilla comercial de la imprenta.</w:t>
            </w:r>
          </w:p>
        </w:tc>
      </w:tr>
      <w:tr w:rsidR="00591ECA" w14:paraId="2A23495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8D8FFC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47D95A12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TMCCV = (∑ (Hora_Fin_Emision_k - Hora_Inicio_Atencion_k)) / M</w:t>
            </w:r>
          </w:p>
          <w:p w14:paraId="78614A24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47662C9B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TMCCV: Tiempo Medio del Ciclo de Cotización y Venta (expresado en minutos).</w:t>
            </w:r>
          </w:p>
          <w:p w14:paraId="35CA14F2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Hora_Inicio_Atencion: Momento exacto en que el cliente solicita el servicio o producto en mostrador.</w:t>
            </w:r>
          </w:p>
          <w:p w14:paraId="24924B34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Hora_Fin_Emision: Momento en que se emite el comprobante y se registra el cobro de anticipo.</w:t>
            </w:r>
          </w:p>
          <w:p w14:paraId="1B5BC1B7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M: Número de transacciones muestreadas durante la toma de datos de campo (M = 30 órdenes).</w:t>
            </w:r>
          </w:p>
        </w:tc>
      </w:tr>
      <w:tr w:rsidR="00591ECA" w14:paraId="2673E5A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6C09F5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46AD8A32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Línea Base Pretest (método manual tradicional con calculadora y talonario en papel): TMCCV = 18.5 minutos / orden.</w:t>
            </w:r>
          </w:p>
          <w:p w14:paraId="0A9B85D8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Valor Meta Postest con el Sistema Transaccional implementado: TMCCV &lt;= 3.5 minutos / orden.</w:t>
            </w:r>
          </w:p>
          <w:p w14:paraId="0B6A759B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Reducción esperada: Superior al 80.0% en tiempo de ciclo de atención.</w:t>
            </w:r>
          </w:p>
          <w:p w14:paraId="0E2E6F63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preliminar de prueba en Sprint 4: TMCCV = 2.8 minutos con el módulo de Venta Rápida express en 1 clic y cotizador dinámico de Angular 21.</w:t>
            </w:r>
          </w:p>
        </w:tc>
      </w:tr>
      <w:tr w:rsidR="00591ECA" w14:paraId="2D765AC0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73E3CD1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39AFEF2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Racional continua: TMCCV &gt; 0 minutos</w:t>
            </w:r>
          </w:p>
        </w:tc>
      </w:tr>
      <w:tr w:rsidR="00591ECA" w14:paraId="45ECB247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084385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5B722B1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continua (minutos)</w:t>
            </w:r>
          </w:p>
        </w:tc>
      </w:tr>
      <w:tr w:rsidR="00591ECA" w14:paraId="70CA4E5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4803738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65D3289F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Ficha Técnica de Registro de Tiempos (Instrumento 1 de Práctica de Campo I) y timestamps de órdenes en PostgreSQL.</w:t>
            </w:r>
          </w:p>
        </w:tc>
      </w:tr>
    </w:tbl>
    <w:p w14:paraId="1C2BBBF1" w14:textId="77777777" w:rsidR="00591ECA" w:rsidRDefault="00591ECA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70"/>
        <w:gridCol w:w="6335"/>
      </w:tblGrid>
      <w:tr w:rsidR="00591ECA" w14:paraId="0C90A73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4D5D4B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2A4DFA8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M-VD-02: Porcentaje de Merma en Bobinas Continuas y Planchas Rígidas (PMM)</w:t>
            </w:r>
          </w:p>
        </w:tc>
      </w:tr>
      <w:tr w:rsidR="00591ECA" w14:paraId="3A4601A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46AEBB4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34E11742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Evaluar la disminución del desperdicio de insumos de alto costo mediante el seguimiento individual de rollos continuos (UV DTF Film A+B 100m, Lona Frontlit 13 oz) y sustratos rígidos (MDF 2.44x1.22m, Celtex), registrando retazos útiles y mermas reales.</w:t>
            </w:r>
          </w:p>
        </w:tc>
      </w:tr>
      <w:tr w:rsidR="00591ECA" w14:paraId="02153108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ABAA390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552185C1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Inspección de taller y registro dimensional de mermas en la pestaña de 'Control de Rollos y Planchas' del sistema frente al área neta facturada en cada orden de trabajo (Ficha Métrica de Taller).</w:t>
            </w:r>
          </w:p>
        </w:tc>
      </w:tr>
      <w:tr w:rsidR="00591ECA" w14:paraId="28E9569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206B350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5619A86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PMM = (Área Total de Merma Acumulada en m² / Área Total Bruta de la Pieza en m²) * 100%</w:t>
            </w:r>
          </w:p>
          <w:p w14:paraId="315E6BEE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0E5F469B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PMM: Porcentaje de Merma de Materiales (%).</w:t>
            </w:r>
          </w:p>
          <w:p w14:paraId="7824642C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Área Total de Merma: Superficie no aprovechable resultante de cortes no optimizados o calibración defectuosa.</w:t>
            </w:r>
          </w:p>
          <w:p w14:paraId="2723F135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Área Total Bruta: Superficie nominal completa de la bobina o plancha adquirida (ej. 100m x 0.60m = 60 m² de film UV DTF).</w:t>
            </w:r>
          </w:p>
        </w:tc>
      </w:tr>
      <w:tr w:rsidR="00591ECA" w14:paraId="09091F8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AABE4F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lastRenderedPageBreak/>
              <w:t>Interpretación de la métrica</w:t>
            </w:r>
          </w:p>
        </w:tc>
        <w:tc>
          <w:tcPr>
            <w:tcW w:w="6480" w:type="dxa"/>
            <w:vAlign w:val="center"/>
          </w:tcPr>
          <w:p w14:paraId="4F7C29E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Línea Base Pretest histórica en taller (sin trazabilidad de retazos): PMM = 14.8% de merma descontrolada.</w:t>
            </w:r>
          </w:p>
          <w:p w14:paraId="69607003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Valor Meta Postest con el módulo de tracking y algoritmo de corte: PMM &lt;= 5.2% de merma técnica.</w:t>
            </w:r>
          </w:p>
          <w:p w14:paraId="33B60EEA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Impacto esperado: Ahorro superior a S/ 1,200.00 mensuales en insumos gráficos importados.</w:t>
            </w:r>
          </w:p>
          <w:p w14:paraId="6A66E918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preliminar en Sprint 4: PMM = 6.1% en rollos UV DTF auditados mediante el módulo de consumos de piezas de lote.</w:t>
            </w:r>
          </w:p>
        </w:tc>
      </w:tr>
      <w:tr w:rsidR="00591ECA" w14:paraId="1A389EE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E0A4CEA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2C357790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Porcentual: 0% &lt;= PMM &lt;= 100%</w:t>
            </w:r>
          </w:p>
        </w:tc>
      </w:tr>
      <w:tr w:rsidR="00591ECA" w14:paraId="18BD1596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9344090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349D7C7A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porcentual</w:t>
            </w:r>
          </w:p>
        </w:tc>
      </w:tr>
      <w:tr w:rsidR="00591ECA" w14:paraId="5BF367E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8F1D6FD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60D163ED" w14:textId="5A8E5EDF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 xml:space="preserve">Entidad relacional piezas_lote_material, tabla consumos_pieza y Ficha Métrica de Taller (Instrumento </w:t>
            </w:r>
            <w:r w:rsidR="00D338AD">
              <w:rPr>
                <w:rFonts w:ascii="Calibri" w:hAnsi="Calibri"/>
                <w:color w:val="000000"/>
                <w:sz w:val="18"/>
              </w:rPr>
              <w:t>2</w:t>
            </w:r>
            <w:r>
              <w:rPr>
                <w:rFonts w:ascii="Calibri" w:hAnsi="Calibri"/>
                <w:color w:val="000000"/>
                <w:sz w:val="18"/>
              </w:rPr>
              <w:t>).</w:t>
            </w:r>
          </w:p>
        </w:tc>
      </w:tr>
    </w:tbl>
    <w:p w14:paraId="23E58C24" w14:textId="77777777" w:rsidR="00591ECA" w:rsidRDefault="00591ECA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73"/>
        <w:gridCol w:w="6332"/>
      </w:tblGrid>
      <w:tr w:rsidR="00591ECA" w14:paraId="3C1E0EFE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83E13A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4084A79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M-VD-03: Tasa de Recuperación y Cero Fuga de Saldos Pendientes (TRSP)</w:t>
            </w:r>
          </w:p>
        </w:tc>
      </w:tr>
      <w:tr w:rsidR="00591ECA" w14:paraId="129A1AA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831F68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5FCB3AC2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Verificar la efectividad en la recaudación íntegra de saldos pendientes al momento de la entrega del producto terminado, eliminando pérdidas monetarias por despachos fiados sin liquidar o comprobantes de pago adulterados ('Yape falso').</w:t>
            </w:r>
          </w:p>
        </w:tc>
      </w:tr>
      <w:tr w:rsidR="00591ECA" w14:paraId="494FE7D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CFCCA3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48E66224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Auditoría diaria cruzada entre el arqueo físico de caja y el reporte digital de cierre emitido por el sistema (/api/caja/cierre), contabilizando órdenes despachadas que presenten saldo deudor.</w:t>
            </w:r>
          </w:p>
        </w:tc>
      </w:tr>
      <w:tr w:rsidR="00591ECA" w14:paraId="7669399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97D874F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7FBCACA0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TRSP = (Monto Total Efectivamente Cobrado y Auditado en S/ / Monto Total Facturado por Órdenes Despachadas en S/) * 100%</w:t>
            </w:r>
          </w:p>
          <w:p w14:paraId="0437688B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5CB25E0F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TRSP: Tasa de Recuperación de Saldos Pendientes (%).</w:t>
            </w:r>
          </w:p>
          <w:p w14:paraId="41CF3CD1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Numerador: Suma de anticipos y liquidaciones finales verificadas y conciliadas en caja.</w:t>
            </w:r>
          </w:p>
          <w:p w14:paraId="465CEFD3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Denominador: Importe total de las órdenes físicas entregadas a clientes durante el período evaluado.</w:t>
            </w:r>
          </w:p>
        </w:tc>
      </w:tr>
      <w:tr w:rsidR="00591ECA" w14:paraId="082C19E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DD2F15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6081FD02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Línea Base Pretest histórica: TRSP = 78.2% (21.8% de fuga de cobranza por entregas informales sin liquidar).</w:t>
            </w:r>
          </w:p>
          <w:p w14:paraId="75D42478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Valor Meta Postest con el Candado Digital activado: TRSP &gt;= 99.5% (Tolerancia cero a entregas impagas).</w:t>
            </w:r>
          </w:p>
          <w:p w14:paraId="6687FB44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Impacto esperado: Recuperación íntegra del flujo de caja diario y conciliación exacta de ingresos.</w:t>
            </w:r>
          </w:p>
          <w:p w14:paraId="09BF3A4C" w14:textId="77777777" w:rsidR="00591ECA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TRSP = 100.0% en 42 órdenes despachadas durante las pruebas controladas; ninguna orden pudo ser retirada sin la cancelación previa del 100% del saldo.</w:t>
            </w:r>
          </w:p>
        </w:tc>
      </w:tr>
      <w:tr w:rsidR="00591ECA" w14:paraId="46C19FDE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EE97CE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7E6A1557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Porcentual: 0% &lt;= TRSP &lt;= 100%</w:t>
            </w:r>
          </w:p>
        </w:tc>
      </w:tr>
      <w:tr w:rsidR="00591ECA" w14:paraId="0EC4F5EF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D1EEBD5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7649F83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porcentual</w:t>
            </w:r>
          </w:p>
        </w:tc>
      </w:tr>
      <w:tr w:rsidR="00591ECA" w14:paraId="25E6FCB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51B8719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7C1AA98A" w14:textId="2BEC5700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 xml:space="preserve">Módulo de Caja (caja_service.py), endpoint /api/caja/cierre y Guía de Auditoría de Caja (Instrumento </w:t>
            </w:r>
            <w:r w:rsidR="005B5AF0">
              <w:rPr>
                <w:rFonts w:ascii="Calibri" w:hAnsi="Calibri"/>
                <w:color w:val="000000"/>
                <w:sz w:val="18"/>
              </w:rPr>
              <w:t>3</w:t>
            </w:r>
            <w:r>
              <w:rPr>
                <w:rFonts w:ascii="Calibri" w:hAnsi="Calibri"/>
                <w:color w:val="000000"/>
                <w:sz w:val="18"/>
              </w:rPr>
              <w:t>).</w:t>
            </w:r>
          </w:p>
        </w:tc>
      </w:tr>
    </w:tbl>
    <w:p w14:paraId="2979830C" w14:textId="77777777" w:rsidR="00591ECA" w:rsidRDefault="00591ECA">
      <w:pPr>
        <w:spacing w:after="120"/>
      </w:pPr>
    </w:p>
    <w:p w14:paraId="35A52E4A" w14:textId="77777777" w:rsidR="00591ECA" w:rsidRDefault="00000000">
      <w:pPr>
        <w:spacing w:before="200" w:after="80"/>
      </w:pPr>
      <w:r>
        <w:rPr>
          <w:rFonts w:ascii="Calibri" w:hAnsi="Calibri"/>
          <w:b/>
          <w:color w:val="1F4E79"/>
        </w:rPr>
        <w:t>4. Control de Versiones del Documento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959"/>
        <w:gridCol w:w="1726"/>
        <w:gridCol w:w="1743"/>
        <w:gridCol w:w="1689"/>
        <w:gridCol w:w="1123"/>
        <w:gridCol w:w="2065"/>
      </w:tblGrid>
      <w:tr w:rsidR="00591ECA" w14:paraId="6210F0AC" w14:textId="77777777">
        <w:trPr>
          <w:jc w:val="center"/>
        </w:trPr>
        <w:tc>
          <w:tcPr>
            <w:tcW w:w="9312" w:type="dxa"/>
            <w:gridSpan w:val="6"/>
            <w:shd w:val="clear" w:color="auto" w:fill="1F4E79"/>
          </w:tcPr>
          <w:p w14:paraId="1CED98F0" w14:textId="77777777" w:rsidR="00591ECA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HISTORIAL DE REVISIONES Y CONTROL DE VERSIONES</w:t>
            </w:r>
          </w:p>
        </w:tc>
      </w:tr>
      <w:tr w:rsidR="00591ECA" w14:paraId="7EBB6BD7" w14:textId="77777777">
        <w:trPr>
          <w:jc w:val="center"/>
        </w:trPr>
        <w:tc>
          <w:tcPr>
            <w:tcW w:w="1008" w:type="dxa"/>
            <w:shd w:val="clear" w:color="auto" w:fill="1F4E79"/>
          </w:tcPr>
          <w:p w14:paraId="3EEDED3F" w14:textId="77777777" w:rsidR="00591ECA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Versión</w:t>
            </w:r>
          </w:p>
        </w:tc>
        <w:tc>
          <w:tcPr>
            <w:tcW w:w="1872" w:type="dxa"/>
            <w:shd w:val="clear" w:color="auto" w:fill="1F4E79"/>
          </w:tcPr>
          <w:p w14:paraId="48B35FE7" w14:textId="77777777" w:rsidR="00591ECA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w="1872" w:type="dxa"/>
            <w:shd w:val="clear" w:color="auto" w:fill="1F4E79"/>
          </w:tcPr>
          <w:p w14:paraId="24730ED7" w14:textId="77777777" w:rsidR="00591ECA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Revisado Por:</w:t>
            </w:r>
          </w:p>
        </w:tc>
        <w:tc>
          <w:tcPr>
            <w:tcW w:w="1872" w:type="dxa"/>
            <w:shd w:val="clear" w:color="auto" w:fill="1F4E79"/>
          </w:tcPr>
          <w:p w14:paraId="6D0D137D" w14:textId="77777777" w:rsidR="00591ECA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Aprobado Por:</w:t>
            </w:r>
          </w:p>
        </w:tc>
        <w:tc>
          <w:tcPr>
            <w:tcW w:w="1152" w:type="dxa"/>
            <w:shd w:val="clear" w:color="auto" w:fill="1F4E79"/>
          </w:tcPr>
          <w:p w14:paraId="29B183E5" w14:textId="77777777" w:rsidR="00591ECA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Fecha</w:t>
            </w:r>
          </w:p>
        </w:tc>
        <w:tc>
          <w:tcPr>
            <w:tcW w:w="2304" w:type="dxa"/>
            <w:shd w:val="clear" w:color="auto" w:fill="1F4E79"/>
          </w:tcPr>
          <w:p w14:paraId="1A1DA7CF" w14:textId="77777777" w:rsidR="00591ECA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Motivo</w:t>
            </w:r>
          </w:p>
        </w:tc>
      </w:tr>
      <w:tr w:rsidR="00591ECA" w14:paraId="6345787D" w14:textId="77777777">
        <w:trPr>
          <w:jc w:val="center"/>
        </w:trPr>
        <w:tc>
          <w:tcPr>
            <w:tcW w:w="1008" w:type="dxa"/>
            <w:vAlign w:val="center"/>
          </w:tcPr>
          <w:p w14:paraId="7725076C" w14:textId="77777777" w:rsidR="00591ECA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1.0</w:t>
            </w:r>
          </w:p>
        </w:tc>
        <w:tc>
          <w:tcPr>
            <w:tcW w:w="1872" w:type="dxa"/>
            <w:vAlign w:val="center"/>
          </w:tcPr>
          <w:p w14:paraId="629A9ED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6"/>
              </w:rPr>
              <w:t>Gerardo Erick Plasencia Torres</w:t>
            </w:r>
            <w:r>
              <w:rPr>
                <w:rFonts w:ascii="Calibri" w:hAnsi="Calibri"/>
                <w:color w:val="000000"/>
                <w:sz w:val="16"/>
              </w:rPr>
              <w:br/>
            </w:r>
            <w:r>
              <w:rPr>
                <w:rFonts w:ascii="Calibri" w:hAnsi="Calibri"/>
                <w:color w:val="000000"/>
                <w:sz w:val="16"/>
              </w:rPr>
              <w:lastRenderedPageBreak/>
              <w:t>(Líder de Proyecto / Scrum Master)</w:t>
            </w:r>
          </w:p>
        </w:tc>
        <w:tc>
          <w:tcPr>
            <w:tcW w:w="1872" w:type="dxa"/>
            <w:vAlign w:val="center"/>
          </w:tcPr>
          <w:p w14:paraId="60CD5C06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6"/>
              </w:rPr>
              <w:lastRenderedPageBreak/>
              <w:t>Marcell Magaly Vásquez Loje</w:t>
            </w:r>
            <w:r>
              <w:rPr>
                <w:rFonts w:ascii="Calibri" w:hAnsi="Calibri"/>
                <w:color w:val="000000"/>
                <w:sz w:val="16"/>
              </w:rPr>
              <w:br/>
            </w:r>
            <w:r>
              <w:rPr>
                <w:rFonts w:ascii="Calibri" w:hAnsi="Calibri"/>
                <w:color w:val="000000"/>
                <w:sz w:val="16"/>
              </w:rPr>
              <w:lastRenderedPageBreak/>
              <w:t>(Gerente de Administración / PO)</w:t>
            </w:r>
          </w:p>
        </w:tc>
        <w:tc>
          <w:tcPr>
            <w:tcW w:w="1872" w:type="dxa"/>
            <w:vAlign w:val="center"/>
          </w:tcPr>
          <w:p w14:paraId="415046EB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6"/>
              </w:rPr>
              <w:lastRenderedPageBreak/>
              <w:t>Juan Carlos Plasencia Torres</w:t>
            </w:r>
            <w:r>
              <w:rPr>
                <w:rFonts w:ascii="Calibri" w:hAnsi="Calibri"/>
                <w:color w:val="000000"/>
                <w:sz w:val="16"/>
              </w:rPr>
              <w:br/>
              <w:t>(Gerente General / Sponsor)</w:t>
            </w:r>
            <w:r>
              <w:rPr>
                <w:rFonts w:ascii="Calibri" w:hAnsi="Calibri"/>
                <w:color w:val="000000"/>
                <w:sz w:val="16"/>
              </w:rPr>
              <w:br/>
            </w:r>
            <w:r>
              <w:rPr>
                <w:rFonts w:ascii="Calibri" w:hAnsi="Calibri"/>
                <w:color w:val="000000"/>
                <w:sz w:val="16"/>
              </w:rPr>
              <w:lastRenderedPageBreak/>
              <w:t>Dr. Ing. José A. Gómez Ávila</w:t>
            </w:r>
            <w:r>
              <w:rPr>
                <w:rFonts w:ascii="Calibri" w:hAnsi="Calibri"/>
                <w:color w:val="000000"/>
                <w:sz w:val="16"/>
              </w:rPr>
              <w:br/>
              <w:t>(Docente Asesor Cátedra UPN)</w:t>
            </w:r>
          </w:p>
        </w:tc>
        <w:tc>
          <w:tcPr>
            <w:tcW w:w="1152" w:type="dxa"/>
            <w:vAlign w:val="center"/>
          </w:tcPr>
          <w:p w14:paraId="3FBD7F10" w14:textId="77777777" w:rsidR="00591ECA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lastRenderedPageBreak/>
              <w:t>09/10/2026</w:t>
            </w:r>
          </w:p>
        </w:tc>
        <w:tc>
          <w:tcPr>
            <w:tcW w:w="2304" w:type="dxa"/>
            <w:vAlign w:val="center"/>
          </w:tcPr>
          <w:p w14:paraId="63C04C8C" w14:textId="77777777" w:rsidR="00591ECA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6"/>
              </w:rPr>
              <w:t xml:space="preserve">Formulación técnica de 9 métricas de calidad bajo ISO/IEC 25010 (Software), ISO/IEC 25012 (Datos) y </w:t>
            </w:r>
            <w:r>
              <w:rPr>
                <w:rFonts w:ascii="Calibri" w:hAnsi="Calibri"/>
                <w:color w:val="000000"/>
                <w:sz w:val="16"/>
              </w:rPr>
              <w:lastRenderedPageBreak/>
              <w:t>Variable Dependiente (Procesos Operativos) para la Práctica de Campo I (Semana 7).</w:t>
            </w:r>
          </w:p>
        </w:tc>
      </w:tr>
    </w:tbl>
    <w:p w14:paraId="7B2C473F" w14:textId="77777777" w:rsidR="00F74542" w:rsidRDefault="00F74542"/>
    <w:sectPr w:rsidR="00F74542" w:rsidSect="00EF1751">
      <w:footerReference w:type="default" r:id="rId8"/>
      <w:pgSz w:w="11907" w:h="16839" w:code="9"/>
      <w:pgMar w:top="1152" w:right="1296" w:bottom="1152" w:left="1296" w:header="708" w:footer="708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91DF7" w14:textId="77777777" w:rsidR="00F74542" w:rsidRDefault="00F74542" w:rsidP="001E3BBE">
      <w:pPr>
        <w:spacing w:after="0" w:line="240" w:lineRule="auto"/>
      </w:pPr>
      <w:r>
        <w:separator/>
      </w:r>
    </w:p>
  </w:endnote>
  <w:endnote w:type="continuationSeparator" w:id="0">
    <w:p w14:paraId="49D77B47" w14:textId="77777777" w:rsidR="00F74542" w:rsidRDefault="00F74542" w:rsidP="001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9380683"/>
      <w:docPartObj>
        <w:docPartGallery w:val="Page Numbers (Bottom of Page)"/>
        <w:docPartUnique/>
      </w:docPartObj>
    </w:sdtPr>
    <w:sdtContent>
      <w:p w14:paraId="699ADC62" w14:textId="77777777" w:rsidR="00601187" w:rsidRDefault="00601187">
        <w:pPr>
          <w:pStyle w:val="Piedepgina"/>
          <w:jc w:val="center"/>
        </w:pPr>
        <w:r>
          <w:rPr>
            <w:noProof/>
            <w:color w:val="FFFFFF" w:themeColor="background1"/>
            <w:lang w:val="es-PR" w:eastAsia="es-PR"/>
          </w:rPr>
          <mc:AlternateContent>
            <mc:Choice Requires="wpg">
              <w:drawing>
                <wp:inline distT="0" distB="0" distL="0" distR="0" wp14:anchorId="5AE3C29F" wp14:editId="6EAE3BE7">
                  <wp:extent cx="548640" cy="237490"/>
                  <wp:effectExtent l="9525" t="9525" r="13335" b="10160"/>
                  <wp:docPr id="1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6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CD7A16" w14:textId="77777777" w:rsidR="00601187" w:rsidRDefault="00601187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E4D3E" w:rsidRPr="000E4D3E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5AE3C29F" id="Grupo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<v:textbox inset="0,0,0,0">
                      <w:txbxContent>
                        <w:p w14:paraId="2FCD7A16" w14:textId="77777777" w:rsidR="00601187" w:rsidRDefault="00601187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E4D3E" w:rsidRPr="000E4D3E">
                            <w:rPr>
                              <w:b/>
                              <w:bCs/>
                              <w:noProof/>
                              <w:color w:val="FFFFFF" w:themeColor="background1"/>
                              <w:lang w:val="es-ES"/>
                            </w:rPr>
                            <w:t>3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750587B8" w14:textId="77777777" w:rsidR="001E3BBE" w:rsidRDefault="001E3B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2883" w14:textId="77777777" w:rsidR="00F74542" w:rsidRDefault="00F74542" w:rsidP="001E3BBE">
      <w:pPr>
        <w:spacing w:after="0" w:line="240" w:lineRule="auto"/>
      </w:pPr>
      <w:r>
        <w:separator/>
      </w:r>
    </w:p>
  </w:footnote>
  <w:footnote w:type="continuationSeparator" w:id="0">
    <w:p w14:paraId="604BA3DB" w14:textId="77777777" w:rsidR="00F74542" w:rsidRDefault="00F74542" w:rsidP="001E3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EA5"/>
    <w:multiLevelType w:val="hybridMultilevel"/>
    <w:tmpl w:val="0CEAC7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117D9"/>
    <w:multiLevelType w:val="hybridMultilevel"/>
    <w:tmpl w:val="16422E2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1338A"/>
    <w:multiLevelType w:val="hybridMultilevel"/>
    <w:tmpl w:val="CA084F8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7193C"/>
    <w:multiLevelType w:val="hybridMultilevel"/>
    <w:tmpl w:val="89B6AD5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EA430A"/>
    <w:multiLevelType w:val="hybridMultilevel"/>
    <w:tmpl w:val="3384B2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20695"/>
    <w:multiLevelType w:val="hybridMultilevel"/>
    <w:tmpl w:val="2DB00C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6B25"/>
    <w:multiLevelType w:val="hybridMultilevel"/>
    <w:tmpl w:val="011008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955E2"/>
    <w:multiLevelType w:val="hybridMultilevel"/>
    <w:tmpl w:val="F2F436A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A15A6B"/>
    <w:multiLevelType w:val="hybridMultilevel"/>
    <w:tmpl w:val="011008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B4809"/>
    <w:multiLevelType w:val="hybridMultilevel"/>
    <w:tmpl w:val="211EFCA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0A3A2F"/>
    <w:multiLevelType w:val="hybridMultilevel"/>
    <w:tmpl w:val="011008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320A2"/>
    <w:multiLevelType w:val="hybridMultilevel"/>
    <w:tmpl w:val="4900E1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D26FC"/>
    <w:multiLevelType w:val="hybridMultilevel"/>
    <w:tmpl w:val="393286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079C3"/>
    <w:multiLevelType w:val="hybridMultilevel"/>
    <w:tmpl w:val="CE18068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361512">
    <w:abstractNumId w:val="4"/>
  </w:num>
  <w:num w:numId="2" w16cid:durableId="18623130">
    <w:abstractNumId w:val="9"/>
  </w:num>
  <w:num w:numId="3" w16cid:durableId="1910505580">
    <w:abstractNumId w:val="8"/>
  </w:num>
  <w:num w:numId="4" w16cid:durableId="2003190837">
    <w:abstractNumId w:val="6"/>
  </w:num>
  <w:num w:numId="5" w16cid:durableId="520633099">
    <w:abstractNumId w:val="10"/>
  </w:num>
  <w:num w:numId="6" w16cid:durableId="835223550">
    <w:abstractNumId w:val="12"/>
  </w:num>
  <w:num w:numId="7" w16cid:durableId="360132365">
    <w:abstractNumId w:val="0"/>
  </w:num>
  <w:num w:numId="8" w16cid:durableId="1066032788">
    <w:abstractNumId w:val="5"/>
  </w:num>
  <w:num w:numId="9" w16cid:durableId="1512184117">
    <w:abstractNumId w:val="11"/>
  </w:num>
  <w:num w:numId="10" w16cid:durableId="868642183">
    <w:abstractNumId w:val="13"/>
  </w:num>
  <w:num w:numId="11" w16cid:durableId="1359769848">
    <w:abstractNumId w:val="3"/>
  </w:num>
  <w:num w:numId="12" w16cid:durableId="670645750">
    <w:abstractNumId w:val="1"/>
  </w:num>
  <w:num w:numId="13" w16cid:durableId="976105422">
    <w:abstractNumId w:val="7"/>
  </w:num>
  <w:num w:numId="14" w16cid:durableId="197540537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D00"/>
    <w:rsid w:val="000066CC"/>
    <w:rsid w:val="00006BC7"/>
    <w:rsid w:val="00014806"/>
    <w:rsid w:val="00025302"/>
    <w:rsid w:val="0006053B"/>
    <w:rsid w:val="00075631"/>
    <w:rsid w:val="00086504"/>
    <w:rsid w:val="000A7C2F"/>
    <w:rsid w:val="000B4110"/>
    <w:rsid w:val="000C3DDD"/>
    <w:rsid w:val="000C7E1D"/>
    <w:rsid w:val="000E4D3E"/>
    <w:rsid w:val="000F2E6F"/>
    <w:rsid w:val="00124C45"/>
    <w:rsid w:val="00124F2C"/>
    <w:rsid w:val="00141576"/>
    <w:rsid w:val="001A209C"/>
    <w:rsid w:val="001B335A"/>
    <w:rsid w:val="001E3BBE"/>
    <w:rsid w:val="00203D82"/>
    <w:rsid w:val="00224B22"/>
    <w:rsid w:val="002C54F7"/>
    <w:rsid w:val="002F1766"/>
    <w:rsid w:val="00322BDA"/>
    <w:rsid w:val="003330FE"/>
    <w:rsid w:val="00375952"/>
    <w:rsid w:val="00380D11"/>
    <w:rsid w:val="003867B5"/>
    <w:rsid w:val="00387F83"/>
    <w:rsid w:val="003918A9"/>
    <w:rsid w:val="00391A01"/>
    <w:rsid w:val="003A1009"/>
    <w:rsid w:val="003E59C4"/>
    <w:rsid w:val="004777A0"/>
    <w:rsid w:val="004E663F"/>
    <w:rsid w:val="004F111D"/>
    <w:rsid w:val="00503DC8"/>
    <w:rsid w:val="00520664"/>
    <w:rsid w:val="0052673D"/>
    <w:rsid w:val="00535C84"/>
    <w:rsid w:val="00556EFD"/>
    <w:rsid w:val="0056623D"/>
    <w:rsid w:val="00576AF4"/>
    <w:rsid w:val="00591ECA"/>
    <w:rsid w:val="00597AD5"/>
    <w:rsid w:val="005B4848"/>
    <w:rsid w:val="005B55E2"/>
    <w:rsid w:val="005B5AF0"/>
    <w:rsid w:val="005D11D1"/>
    <w:rsid w:val="005D5AA5"/>
    <w:rsid w:val="005D600F"/>
    <w:rsid w:val="005F663B"/>
    <w:rsid w:val="00601187"/>
    <w:rsid w:val="00614561"/>
    <w:rsid w:val="006210B1"/>
    <w:rsid w:val="00621E1B"/>
    <w:rsid w:val="00634BEA"/>
    <w:rsid w:val="00651DF1"/>
    <w:rsid w:val="007032C7"/>
    <w:rsid w:val="00706A27"/>
    <w:rsid w:val="00731CAA"/>
    <w:rsid w:val="007548D9"/>
    <w:rsid w:val="007962D1"/>
    <w:rsid w:val="00796C8E"/>
    <w:rsid w:val="007E6B28"/>
    <w:rsid w:val="007F0790"/>
    <w:rsid w:val="008201CF"/>
    <w:rsid w:val="008750A2"/>
    <w:rsid w:val="00885789"/>
    <w:rsid w:val="008B236F"/>
    <w:rsid w:val="008B6134"/>
    <w:rsid w:val="008D2B86"/>
    <w:rsid w:val="00907F9B"/>
    <w:rsid w:val="0091261F"/>
    <w:rsid w:val="00922AA2"/>
    <w:rsid w:val="00940981"/>
    <w:rsid w:val="009433D9"/>
    <w:rsid w:val="00962A8A"/>
    <w:rsid w:val="009801EE"/>
    <w:rsid w:val="009930E8"/>
    <w:rsid w:val="009970AE"/>
    <w:rsid w:val="009A6C35"/>
    <w:rsid w:val="009B03B3"/>
    <w:rsid w:val="009B0B04"/>
    <w:rsid w:val="009B2D34"/>
    <w:rsid w:val="009B3F99"/>
    <w:rsid w:val="009F4DDE"/>
    <w:rsid w:val="00AB6D32"/>
    <w:rsid w:val="00AD386A"/>
    <w:rsid w:val="00AD4607"/>
    <w:rsid w:val="00B32CAB"/>
    <w:rsid w:val="00B35140"/>
    <w:rsid w:val="00B52AF5"/>
    <w:rsid w:val="00B74FDE"/>
    <w:rsid w:val="00C03136"/>
    <w:rsid w:val="00C1318C"/>
    <w:rsid w:val="00C248A1"/>
    <w:rsid w:val="00C40B76"/>
    <w:rsid w:val="00C43C12"/>
    <w:rsid w:val="00C516E9"/>
    <w:rsid w:val="00C6469F"/>
    <w:rsid w:val="00C77C80"/>
    <w:rsid w:val="00C77CC6"/>
    <w:rsid w:val="00C809C0"/>
    <w:rsid w:val="00CB5C78"/>
    <w:rsid w:val="00CC6301"/>
    <w:rsid w:val="00CD20F2"/>
    <w:rsid w:val="00CD4AC3"/>
    <w:rsid w:val="00CD574C"/>
    <w:rsid w:val="00CF7630"/>
    <w:rsid w:val="00D00C0D"/>
    <w:rsid w:val="00D25C6A"/>
    <w:rsid w:val="00D27D7D"/>
    <w:rsid w:val="00D338AD"/>
    <w:rsid w:val="00D84512"/>
    <w:rsid w:val="00DC54C2"/>
    <w:rsid w:val="00DC58EA"/>
    <w:rsid w:val="00DF2DF5"/>
    <w:rsid w:val="00E00F39"/>
    <w:rsid w:val="00E126A1"/>
    <w:rsid w:val="00E1769C"/>
    <w:rsid w:val="00E24689"/>
    <w:rsid w:val="00E80752"/>
    <w:rsid w:val="00E902C6"/>
    <w:rsid w:val="00E907B3"/>
    <w:rsid w:val="00E93E59"/>
    <w:rsid w:val="00EB32CF"/>
    <w:rsid w:val="00ED04B7"/>
    <w:rsid w:val="00EE3D00"/>
    <w:rsid w:val="00EE561A"/>
    <w:rsid w:val="00EF1751"/>
    <w:rsid w:val="00F13DF3"/>
    <w:rsid w:val="00F74542"/>
    <w:rsid w:val="00F9389B"/>
    <w:rsid w:val="00FB0979"/>
    <w:rsid w:val="00FC1A98"/>
    <w:rsid w:val="00FC662E"/>
    <w:rsid w:val="00FD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D4A2BA"/>
  <w15:docId w15:val="{360AD867-CD37-4C39-90CF-1C502676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E3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3D00"/>
    <w:pPr>
      <w:ind w:left="720"/>
      <w:contextualSpacing/>
    </w:pPr>
  </w:style>
  <w:style w:type="table" w:styleId="Cuadrculaclara-nfasis1">
    <w:name w:val="Light Grid Accent 1"/>
    <w:basedOn w:val="Tablanormal"/>
    <w:uiPriority w:val="62"/>
    <w:rsid w:val="004E66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3">
    <w:name w:val="Light Grid Accent 3"/>
    <w:basedOn w:val="Tablanormal"/>
    <w:uiPriority w:val="62"/>
    <w:rsid w:val="00DC58EA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rsid w:val="0037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7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76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E3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3BBE"/>
  </w:style>
  <w:style w:type="paragraph" w:styleId="Piedepgina">
    <w:name w:val="footer"/>
    <w:basedOn w:val="Normal"/>
    <w:link w:val="PiedepginaCar"/>
    <w:uiPriority w:val="99"/>
    <w:unhideWhenUsed/>
    <w:rsid w:val="001E3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BBE"/>
  </w:style>
  <w:style w:type="paragraph" w:customStyle="1" w:styleId="Default">
    <w:name w:val="Default"/>
    <w:rsid w:val="005D11D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table" w:styleId="Tablaconcuadrcula1clara">
    <w:name w:val="Grid Table 1 Light"/>
    <w:basedOn w:val="Tablanormal"/>
    <w:uiPriority w:val="46"/>
    <w:rsid w:val="00FB09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FB097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535C84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535C84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D2B8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0B411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9F4DDE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B5C7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B5C78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uadrculaclara-nfasis5">
    <w:name w:val="Light Grid Accent 5"/>
    <w:basedOn w:val="Tablanormal"/>
    <w:uiPriority w:val="62"/>
    <w:rsid w:val="001A209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ablaconcuadrcula2-nfasis2">
    <w:name w:val="Grid Table 2 Accent 2"/>
    <w:basedOn w:val="Tablanormal"/>
    <w:uiPriority w:val="47"/>
    <w:rsid w:val="008750A2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380D11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2726</Words>
  <Characters>14997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17688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Paulinho</dc:creator>
  <cp:lastModifiedBy>Jose Estibb Anhuaman Delgado</cp:lastModifiedBy>
  <cp:revision>9</cp:revision>
  <dcterms:created xsi:type="dcterms:W3CDTF">2020-11-11T13:47:00Z</dcterms:created>
  <dcterms:modified xsi:type="dcterms:W3CDTF">2026-10-21T05:18:00Z</dcterms:modified>
</cp:coreProperties>
</file>