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32"/>
          <w:szCs w:val="32"/>
        </w:rPr>
        <w:t xml:space="preserve">Acta de Constitución del Proyecto</w:t>
      </w:r>
    </w:p>
    <w:tbl>
      <w:tblPr>
        <w:tblW w:type="dxa" w:w="99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1"/>
        <w:gridCol w:w="6709"/>
      </w:tblGrid>
      <w:tr>
        <w:tc>
          <w:tcPr>
            <w:tcW w:type="dxa" w:w="32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005073" w:color="auto" w:val="clear"/>
            <w:tcMar>
              <w:top w:type="dxa" w:w="0"/>
              <w:left w:type="dxa" w:w="108"/>
              <w:bottom w:type="dxa" w:w="0"/>
              <w:right w:type="dxa" w:w="108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Proyecto:</w:t>
            </w:r>
          </w:p>
        </w:tc>
        <w:tc>
          <w:tcPr>
            <w:tcW w:type="dxa" w:w="67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005073" w:color="auto" w:val="clear"/>
            <w:tcMar>
              <w:top w:type="dxa" w:w="0"/>
              <w:left w:type="dxa" w:w="108"/>
              <w:bottom w:type="dxa" w:w="0"/>
              <w:right w:type="dxa" w:w="108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Sistema web de gestión de órdenes, inventario y pagos para Impresos Trujillo E.I.R.L.</w:t>
            </w:r>
          </w:p>
        </w:tc>
      </w:tr>
      <w:tr>
        <w:tc>
          <w:tcPr>
            <w:tcW w:type="dxa" w:w="32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005073" w:color="auto" w:val="clear"/>
            <w:tcMar>
              <w:top w:type="dxa" w:w="0"/>
              <w:left w:type="dxa" w:w="108"/>
              <w:bottom w:type="dxa" w:w="0"/>
              <w:right w:type="dxa" w:w="108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Código:</w:t>
            </w:r>
          </w:p>
        </w:tc>
        <w:tc>
          <w:tcPr>
            <w:tcW w:type="dxa" w:w="67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005073" w:color="auto" w:val="clear"/>
            <w:tcMar>
              <w:top w:type="dxa" w:w="0"/>
              <w:left w:type="dxa" w:w="108"/>
              <w:bottom w:type="dxa" w:w="0"/>
              <w:right w:type="dxa" w:w="108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Grupo 2</w:t>
            </w:r>
          </w:p>
        </w:tc>
      </w:tr>
      <w:tr>
        <w:tc>
          <w:tcPr>
            <w:tcW w:type="dxa" w:w="32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005073" w:color="auto" w:val="clear"/>
            <w:tcMar>
              <w:top w:type="dxa" w:w="0"/>
              <w:left w:type="dxa" w:w="108"/>
              <w:bottom w:type="dxa" w:w="0"/>
              <w:right w:type="dxa" w:w="108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Fecha:</w:t>
            </w:r>
          </w:p>
        </w:tc>
        <w:tc>
          <w:tcPr>
            <w:tcW w:type="dxa" w:w="67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005073" w:color="auto" w:val="clear"/>
            <w:tcMar>
              <w:top w:type="dxa" w:w="0"/>
              <w:left w:type="dxa" w:w="108"/>
              <w:bottom w:type="dxa" w:w="0"/>
              <w:right w:type="dxa" w:w="108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22 de agosto de 2026</w:t>
            </w:r>
          </w:p>
        </w:tc>
      </w:tr>
      <w:tr>
        <w:tc>
          <w:tcPr>
            <w:tcW w:type="dxa" w:w="32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0"/>
              <w:left w:type="dxa" w:w="108"/>
              <w:bottom w:type="dxa" w:w="0"/>
              <w:right w:type="dxa" w:w="108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67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0"/>
              <w:left w:type="dxa" w:w="108"/>
              <w:bottom w:type="dxa" w:w="0"/>
              <w:right w:type="dxa" w:w="108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99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005073" w:color="auto" w:val="clear"/>
            <w:tcMar>
              <w:top w:type="dxa" w:w="0"/>
              <w:left w:type="dxa" w:w="108"/>
              <w:bottom w:type="dxa" w:w="0"/>
              <w:right w:type="dxa" w:w="108"/>
            </w:tcMar>
          </w:tcPr>
          <w:p>
            <w:pPr>
              <w:spacing w:before="10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Racionalidad y Propósito del Proyecto:</w:t>
            </w:r>
          </w:p>
        </w:tc>
      </w:tr>
      <w:tr>
        <w:tc>
          <w:tcPr>
            <w:tcW w:type="dxa" w:w="999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0"/>
              <w:left w:type="dxa" w:w="108"/>
              <w:bottom w:type="dxa" w:w="0"/>
              <w:right w:type="dxa" w:w="108"/>
            </w:tcMar>
          </w:tcPr>
          <w:p>
            <w:pPr>
              <w:spacing w:after="40" w:before="8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Impresos Trujillo E.I.R.L. es una imprenta familiar en Trujillo, Perú, que opera sin un sistema formal de gestión: las órdenes se registran en cuadernos o hojas de cálculo, el control de inventario es manual y los pagos se llevan en libretas. Esto genera pérdida de información, errores en el seguimiento de trabajos y falta de visibilidad del negocio.</w:t>
            </w:r>
          </w:p>
          <w:p>
            <w:pPr>
              <w:spacing w:after="40" w:before="8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El proyecto busca desarrollar e implementar un sistema web que automatice la gestión de órdenes, inventario, pagos y reportes, para resolver los siguientes problemas identificados:</w:t>
            </w:r>
          </w:p>
          <w:p>
            <w:pPr>
              <w:spacing w:after="40" w:before="8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1. Sin control de inventario: se pueden aceptar dos trabajos que compiten por el mismo material sin advertirlo hasta que falta.</w:t>
            </w:r>
          </w:p>
          <w:p>
            <w:pPr>
              <w:spacing w:after="40" w:before="8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2. Sin visibilidad de etapas: no se sabe qué espera aprobación del cliente, qué está en producción y qué está listo para entregar.</w:t>
            </w:r>
          </w:p>
          <w:p>
            <w:pPr>
              <w:spacing w:after="40" w:before="8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3. Sin registro confiable de cobranza: no se conoce con precisión cuánto se cobró, por qué método, ni cuánto queda por cobrar.</w:t>
            </w:r>
          </w:p>
          <w:p>
            <w:pPr>
              <w:spacing w:after="40" w:before="8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4. Sin trazabilidad de responsabilidades: no queda registro de qué trabajador ejecutó cada trabajo.</w:t>
            </w:r>
          </w:p>
        </w:tc>
      </w:tr>
      <w:tr>
        <w:tc>
          <w:tcPr>
            <w:tcW w:type="dxa" w:w="999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005073" w:color="auto" w:val="clear"/>
            <w:tcMar>
              <w:top w:type="dxa" w:w="0"/>
              <w:left w:type="dxa" w:w="108"/>
              <w:bottom w:type="dxa" w:w="0"/>
              <w:right w:type="dxa" w:w="108"/>
            </w:tcMar>
          </w:tcPr>
          <w:p>
            <w:pPr>
              <w:spacing w:before="10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Objetivos del Proyecto:</w:t>
            </w:r>
          </w:p>
        </w:tc>
      </w:tr>
      <w:tr>
        <w:tc>
          <w:tcPr>
            <w:tcW w:type="dxa" w:w="999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0"/>
              <w:left w:type="dxa" w:w="108"/>
              <w:bottom w:type="dxa" w:w="0"/>
              <w:right w:type="dxa" w:w="108"/>
            </w:tcMar>
          </w:tcPr>
          <w:p>
            <w:pPr>
              <w:spacing w:after="40" w:before="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OBJETIVO GENERAL</w:t>
            </w:r>
          </w:p>
          <w:p>
            <w:pPr>
              <w:spacing w:after="40" w:before="8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Desarrollar e implementar un sistema web que automatice la gestión de órdenes, inventario, pagos y reportes de Impresos Trujillo, reduciendo la pérdida de información y mejorando el control operativo y la toma de decisiones.</w:t>
            </w:r>
          </w:p>
          <w:p>
            <w:pPr>
              <w:spacing w:after="40" w:before="8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OBJETIVOS ESPECÍFICOS</w:t>
            </w:r>
          </w:p>
          <w:p>
            <w:pPr>
              <w:spacing w:after="40" w:before="8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1. Controlar el inventario de materiales en tiempo real, con alertas de stock bajo y tiempo de reabastecimiento por material.</w:t>
            </w:r>
          </w:p>
          <w:p>
            <w:pPr>
              <w:spacing w:after="40" w:before="8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2. Dar seguimiento a cada trabajo por etapas, desde que ingresa hasta que se entrega.</w:t>
            </w:r>
          </w:p>
          <w:p>
            <w:pPr>
              <w:spacing w:after="40" w:before="8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3. Conocer los ingresos reales por período, método de pago y trabajador.</w:t>
            </w:r>
          </w:p>
          <w:p>
            <w:pPr>
              <w:spacing w:after="40" w:before="8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4. Garantizar que no se entregue trabajo sin haber cobrado el total.</w:t>
            </w:r>
          </w:p>
          <w:p>
            <w:pPr>
              <w:spacing w:after="40" w:before="8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5. Permitir el trabajo desde celular, no solo desde computadora.</w:t>
            </w:r>
          </w:p>
        </w:tc>
      </w:tr>
      <w:tr>
        <w:tc>
          <w:tcPr>
            <w:tcW w:type="dxa" w:w="999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005073" w:color="auto" w:val="clear"/>
            <w:tcMar>
              <w:top w:type="dxa" w:w="0"/>
              <w:left w:type="dxa" w:w="108"/>
              <w:bottom w:type="dxa" w:w="0"/>
              <w:right w:type="dxa" w:w="108"/>
            </w:tcMar>
          </w:tcPr>
          <w:p>
            <w:pPr>
              <w:spacing w:before="10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Estrategia del Proyecto:</w:t>
            </w:r>
          </w:p>
        </w:tc>
      </w:tr>
      <w:tr>
        <w:tc>
          <w:tcPr>
            <w:tcW w:type="dxa" w:w="999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0"/>
              <w:left w:type="dxa" w:w="108"/>
              <w:bottom w:type="dxa" w:w="0"/>
              <w:right w:type="dxa" w:w="108"/>
            </w:tcMar>
          </w:tcPr>
          <w:p>
            <w:pPr>
              <w:spacing w:after="40" w:before="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Modelo de intervención</w:t>
            </w:r>
          </w:p>
          <w:p>
            <w:pPr>
              <w:spacing w:after="40" w:before="8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Metodología Scrum con sprints quincenales. Se desarrollará un sistema web con Angular 21 (frontend), FastAPI/Python 3.11 (backend), PostgreSQL (base de datos) y despliegue en Docker + Cloud Run. El equipo trabaja bajo esquema MultiRol.</w:t>
            </w:r>
          </w:p>
          <w:p>
            <w:pPr>
              <w:spacing w:after="40" w:before="8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Alcance (productos y entregables)</w:t>
            </w:r>
          </w:p>
          <w:p>
            <w:pPr>
              <w:spacing w:after="40" w:before="8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Componente Transaccional (ciclos 1-4): gestión de órdenes con pipeline de estados, inventario con reserva de stock, pagos, clientes y productos. Componente de Inteligencia de Negocios (ciclos 5-7): dashboards y reportes. Componente de Inteligencia Artificial (ciclos 8-9): predicción de demanda, alertas inteligentes y sugerencia de precio. Entregables de documentación: Acta de Constitución, Business Case y Requerimientos de Software.</w:t>
            </w:r>
          </w:p>
          <w:p>
            <w:pPr>
              <w:spacing w:after="40" w:before="8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Límites del alcance (lo que NO producirá el proyecto)</w:t>
            </w:r>
          </w:p>
          <w:p>
            <w:pPr>
              <w:spacing w:after="40" w:before="8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No incluye: plan de pagos por cuotas múltiples, descuentos por línea o porcentaje, límite de crédito por cliente, lista de precio por cliente, etapa adicional “en acabados”, email/dirección obligatorios en clientes, ni registro abierto de usuarios. Tampoco es un sistema de facturación electrónica (SUNAT) ni de planillas/recursos humanos (SUNAFIL).</w:t>
            </w:r>
          </w:p>
          <w:p>
            <w:pPr>
              <w:spacing w:after="40" w:before="8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Cronograma resumido de fases e hitos</w:t>
            </w:r>
          </w:p>
          <w:tbl>
            <w:tblPr>
              <w:tblW w:type="dxa" w:w="999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00"/>
              <w:gridCol w:w="2800"/>
              <w:gridCol w:w="4990"/>
            </w:tblGrid>
            <w:tr>
              <w:tc>
                <w:tcPr>
                  <w:tcW w:type="dxa" w:w="22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005073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FFFFFF"/>
                      <w:sz w:val="20"/>
                      <w:szCs w:val="20"/>
                    </w:rPr>
                    <w:t xml:space="preserve">Fase / Semana</w:t>
                  </w:r>
                </w:p>
              </w:tc>
              <w:tc>
                <w:tcPr>
                  <w:tcW w:type="dxa" w:w="28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005073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FFFFFF"/>
                      <w:sz w:val="20"/>
                      <w:szCs w:val="20"/>
                    </w:rPr>
                    <w:t xml:space="preserve">Fechas (aprox.)</w:t>
                  </w:r>
                </w:p>
              </w:tc>
              <w:tc>
                <w:tcPr>
                  <w:tcW w:type="dxa" w:w="499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005073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FFFFFF"/>
                      <w:sz w:val="20"/>
                      <w:szCs w:val="20"/>
                    </w:rPr>
                    <w:t xml:space="preserve">Hito / Entregable</w:t>
                  </w:r>
                </w:p>
              </w:tc>
            </w:tr>
            <w:tr>
              <w:tc>
                <w:tcPr>
                  <w:tcW w:type="dxa" w:w="22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SEM 1</w:t>
                  </w:r>
                </w:p>
              </w:tc>
              <w:tc>
                <w:tcPr>
                  <w:tcW w:type="dxa" w:w="28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22/08 – 28/08/2026</w:t>
                  </w:r>
                </w:p>
              </w:tc>
              <w:tc>
                <w:tcPr>
                  <w:tcW w:type="dxa" w:w="499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Acta de Constitución + Business Case</w:t>
                  </w:r>
                </w:p>
              </w:tc>
            </w:tr>
            <w:tr>
              <w:tc>
                <w:tcPr>
                  <w:tcW w:type="dxa" w:w="22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SEM 4</w:t>
                  </w:r>
                </w:p>
              </w:tc>
              <w:tc>
                <w:tcPr>
                  <w:tcW w:type="dxa" w:w="28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12/09 – 18/09/2026</w:t>
                  </w:r>
                </w:p>
              </w:tc>
              <w:tc>
                <w:tcPr>
                  <w:tcW w:type="dxa" w:w="499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Funciones mínimas (~15%)</w:t>
                  </w:r>
                </w:p>
              </w:tc>
            </w:tr>
            <w:tr>
              <w:tc>
                <w:tcPr>
                  <w:tcW w:type="dxa" w:w="22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SEM 6</w:t>
                  </w:r>
                </w:p>
              </w:tc>
              <w:tc>
                <w:tcPr>
                  <w:tcW w:type="dxa" w:w="28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26/09 – 02/10/2026</w:t>
                  </w:r>
                </w:p>
              </w:tc>
              <w:tc>
                <w:tcPr>
                  <w:tcW w:type="dxa" w:w="499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Pipeline de órdenes funcional (~30%)</w:t>
                  </w:r>
                </w:p>
              </w:tc>
            </w:tr>
            <w:tr>
              <w:tc>
                <w:tcPr>
                  <w:tcW w:type="dxa" w:w="22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SEM 7</w:t>
                  </w:r>
                </w:p>
              </w:tc>
              <w:tc>
                <w:tcPr>
                  <w:tcW w:type="dxa" w:w="28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03/10 – 09/10/2026</w:t>
                  </w:r>
                </w:p>
              </w:tc>
              <w:tc>
                <w:tcPr>
                  <w:tcW w:type="dxa" w:w="499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Corte de prácticas de campo</w:t>
                  </w:r>
                </w:p>
              </w:tc>
            </w:tr>
            <w:tr>
              <w:tc>
                <w:tcPr>
                  <w:tcW w:type="dxa" w:w="22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SEM 8</w:t>
                  </w:r>
                </w:p>
              </w:tc>
              <w:tc>
                <w:tcPr>
                  <w:tcW w:type="dxa" w:w="28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10/10 – 16/10/2026</w:t>
                  </w:r>
                </w:p>
              </w:tc>
              <w:tc>
                <w:tcPr>
                  <w:tcW w:type="dxa" w:w="499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Sistema transaccional completo (~70%)</w:t>
                  </w:r>
                </w:p>
              </w:tc>
            </w:tr>
            <w:tr>
              <w:tc>
                <w:tcPr>
                  <w:tcW w:type="dxa" w:w="22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SEM 9</w:t>
                  </w:r>
                </w:p>
              </w:tc>
              <w:tc>
                <w:tcPr>
                  <w:tcW w:type="dxa" w:w="28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17/10 – 23/10/2026</w:t>
                  </w:r>
                </w:p>
              </w:tc>
              <w:tc>
                <w:tcPr>
                  <w:tcW w:type="dxa" w:w="499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BI parcial (~85%)</w:t>
                  </w:r>
                </w:p>
              </w:tc>
            </w:tr>
            <w:tr>
              <w:tc>
                <w:tcPr>
                  <w:tcW w:type="dxa" w:w="22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SEM 10</w:t>
                  </w:r>
                </w:p>
              </w:tc>
              <w:tc>
                <w:tcPr>
                  <w:tcW w:type="dxa" w:w="28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24/10 – 30/10/2026</w:t>
                  </w:r>
                </w:p>
              </w:tc>
              <w:tc>
                <w:tcPr>
                  <w:tcW w:type="dxa" w:w="499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100% del software implementado</w:t>
                  </w:r>
                </w:p>
              </w:tc>
            </w:tr>
            <w:tr>
              <w:tc>
                <w:tcPr>
                  <w:tcW w:type="dxa" w:w="22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SEM 11</w:t>
                  </w:r>
                </w:p>
              </w:tc>
              <w:tc>
                <w:tcPr>
                  <w:tcW w:type="dxa" w:w="28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31/10 – 06/11/2026</w:t>
                  </w:r>
                </w:p>
              </w:tc>
              <w:tc>
                <w:tcPr>
                  <w:tcW w:type="dxa" w:w="499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Entrega a empresa + pretest/postest</w:t>
                  </w:r>
                </w:p>
              </w:tc>
            </w:tr>
            <w:tr>
              <w:tc>
                <w:tcPr>
                  <w:tcW w:type="dxa" w:w="22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SEM 12</w:t>
                  </w:r>
                </w:p>
              </w:tc>
              <w:tc>
                <w:tcPr>
                  <w:tcW w:type="dxa" w:w="28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07/11 – 13/11/2026</w:t>
                  </w:r>
                </w:p>
              </w:tc>
              <w:tc>
                <w:tcPr>
                  <w:tcW w:type="dxa" w:w="499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Responsabilidad social (4 pts)</w:t>
                  </w:r>
                </w:p>
              </w:tc>
            </w:tr>
            <w:tr>
              <w:tc>
                <w:tcPr>
                  <w:tcW w:type="dxa" w:w="22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SEM 13-14</w:t>
                  </w:r>
                </w:p>
              </w:tc>
              <w:tc>
                <w:tcPr>
                  <w:tcW w:type="dxa" w:w="28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14/11 – 27/11/2026</w:t>
                  </w:r>
                </w:p>
              </w:tc>
              <w:tc>
                <w:tcPr>
                  <w:tcW w:type="dxa" w:w="499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Cortes finales</w:t>
                  </w:r>
                </w:p>
              </w:tc>
            </w:tr>
            <w:tr>
              <w:tc>
                <w:tcPr>
                  <w:tcW w:type="dxa" w:w="22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SEM 15</w:t>
                  </w:r>
                </w:p>
              </w:tc>
              <w:tc>
                <w:tcPr>
                  <w:tcW w:type="dxa" w:w="28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28/11 – 04/12/2026</w:t>
                  </w:r>
                </w:p>
              </w:tc>
              <w:tc>
                <w:tcPr>
                  <w:tcW w:type="dxa" w:w="499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Evaluación entre equipos</w:t>
                  </w:r>
                </w:p>
              </w:tc>
            </w:tr>
            <w:tr>
              <w:tc>
                <w:tcPr>
                  <w:tcW w:type="dxa" w:w="22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SEM 16</w:t>
                  </w:r>
                </w:p>
              </w:tc>
              <w:tc>
                <w:tcPr>
                  <w:tcW w:type="dxa" w:w="28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05/12 – 11/12/2026</w:t>
                  </w:r>
                </w:p>
              </w:tc>
              <w:tc>
                <w:tcPr>
                  <w:tcW w:type="dxa" w:w="499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Paper + Informe final</w:t>
                  </w:r>
                </w:p>
              </w:tc>
            </w:tr>
          </w:tbl>
          <w:p>
            <w:pPr>
              <w:spacing w:after="40" w:before="8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Presupuesto resumido por categorías (borrador)</w:t>
            </w:r>
          </w:p>
          <w:tbl>
            <w:tblPr>
              <w:tblW w:type="dxa" w:w="999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600"/>
              <w:gridCol w:w="4690"/>
              <w:gridCol w:w="2700"/>
            </w:tblGrid>
            <w:tr>
              <w:tc>
                <w:tcPr>
                  <w:tcW w:type="dxa" w:w="26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005073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FFFFFF"/>
                      <w:sz w:val="20"/>
                      <w:szCs w:val="20"/>
                    </w:rPr>
                    <w:t xml:space="preserve">Categoría</w:t>
                  </w:r>
                </w:p>
              </w:tc>
              <w:tc>
                <w:tcPr>
                  <w:tcW w:type="dxa" w:w="469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005073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FFFFFF"/>
                      <w:sz w:val="20"/>
                      <w:szCs w:val="20"/>
                    </w:rPr>
                    <w:t xml:space="preserve">Ítem</w:t>
                  </w:r>
                </w:p>
              </w:tc>
              <w:tc>
                <w:tcPr>
                  <w:tcW w:type="dxa" w:w="27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005073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FFFFFF"/>
                      <w:sz w:val="20"/>
                      <w:szCs w:val="20"/>
                    </w:rPr>
                    <w:t xml:space="preserve">Costo (S/)</w:t>
                  </w:r>
                </w:p>
              </w:tc>
            </w:tr>
            <w:tr>
              <w:tc>
                <w:tcPr>
                  <w:tcW w:type="dxa" w:w="26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Tecnología</w:t>
                  </w:r>
                </w:p>
              </w:tc>
              <w:tc>
                <w:tcPr>
                  <w:tcW w:type="dxa" w:w="469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Dominio web (1 año)</w:t>
                  </w:r>
                </w:p>
              </w:tc>
              <w:tc>
                <w:tcPr>
                  <w:tcW w:type="dxa" w:w="27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50</w:t>
                  </w:r>
                </w:p>
              </w:tc>
            </w:tr>
            <w:tr>
              <w:tc>
                <w:tcPr>
                  <w:tcW w:type="dxa" w:w="26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Tecnología</w:t>
                  </w:r>
                </w:p>
              </w:tc>
              <w:tc>
                <w:tcPr>
                  <w:tcW w:type="dxa" w:w="469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Hosting Cloud Run (3 meses)</w:t>
                  </w:r>
                </w:p>
              </w:tc>
              <w:tc>
                <w:tcPr>
                  <w:tcW w:type="dxa" w:w="27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0 (plan gratuito)</w:t>
                  </w:r>
                </w:p>
              </w:tc>
            </w:tr>
            <w:tr>
              <w:tc>
                <w:tcPr>
                  <w:tcW w:type="dxa" w:w="26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Tecnología</w:t>
                  </w:r>
                </w:p>
              </w:tc>
              <w:tc>
                <w:tcPr>
                  <w:tcW w:type="dxa" w:w="469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PostgreSQL (Supabase free tier)</w:t>
                  </w:r>
                </w:p>
              </w:tc>
              <w:tc>
                <w:tcPr>
                  <w:tcW w:type="dxa" w:w="27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0</w:t>
                  </w:r>
                </w:p>
              </w:tc>
            </w:tr>
            <w:tr>
              <w:tc>
                <w:tcPr>
                  <w:tcW w:type="dxa" w:w="26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Servicios</w:t>
                  </w:r>
                </w:p>
              </w:tc>
              <w:tc>
                <w:tcPr>
                  <w:tcW w:type="dxa" w:w="469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Firebase Auth (gratuito)</w:t>
                  </w:r>
                </w:p>
              </w:tc>
              <w:tc>
                <w:tcPr>
                  <w:tcW w:type="dxa" w:w="27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0</w:t>
                  </w:r>
                </w:p>
              </w:tc>
            </w:tr>
            <w:tr>
              <w:tc>
                <w:tcPr>
                  <w:tcW w:type="dxa" w:w="26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Recursos humanos</w:t>
                  </w:r>
                </w:p>
              </w:tc>
              <w:tc>
                <w:tcPr>
                  <w:tcW w:type="dxa" w:w="469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Desarrolladores (estudiantes)</w:t>
                  </w:r>
                </w:p>
              </w:tc>
              <w:tc>
                <w:tcPr>
                  <w:tcW w:type="dxa" w:w="27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0 (académico)</w:t>
                  </w:r>
                </w:p>
              </w:tc>
            </w:tr>
            <w:tr>
              <w:tc>
                <w:tcPr>
                  <w:tcW w:type="dxa" w:w="26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Documentación</w:t>
                  </w:r>
                </w:p>
              </w:tc>
              <w:tc>
                <w:tcPr>
                  <w:tcW w:type="dxa" w:w="469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Impresiones, carpetas</w:t>
                  </w:r>
                </w:p>
              </w:tc>
              <w:tc>
                <w:tcPr>
                  <w:tcW w:type="dxa" w:w="27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30</w:t>
                  </w:r>
                </w:p>
              </w:tc>
            </w:tr>
            <w:tr>
              <w:tc>
                <w:tcPr>
                  <w:tcW w:type="dxa" w:w="26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469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TOTAL</w:t>
                  </w:r>
                </w:p>
              </w:tc>
              <w:tc>
                <w:tcPr>
                  <w:tcW w:type="dxa" w:w="27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~80</w:t>
                  </w:r>
                </w:p>
              </w:tc>
            </w:tr>
          </w:tbl>
          <w:p>
            <w:pPr>
              <w:spacing w:after="40" w:before="8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20"/>
                <w:szCs w:val="20"/>
              </w:rPr>
              <w:t xml:space="preserve">Nota: la empresa ya cuenta con infraestructura (computadoras, internet) que se reutilizará; estos costos no se consideran en el presupuesto del proyecto.</w:t>
            </w:r>
          </w:p>
          <w:p>
            <w:pPr>
              <w:spacing w:after="40" w:before="8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Riesgos, supuestos y restricciones de alto nivel</w:t>
            </w:r>
          </w:p>
          <w:tbl>
            <w:tblPr>
              <w:tblW w:type="dxa" w:w="999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00"/>
              <w:gridCol w:w="790"/>
              <w:gridCol w:w="790"/>
              <w:gridCol w:w="5010"/>
            </w:tblGrid>
            <w:tr>
              <w:tc>
                <w:tcPr>
                  <w:tcW w:type="dxa" w:w="34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005073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FFFFFF"/>
                      <w:sz w:val="20"/>
                      <w:szCs w:val="20"/>
                    </w:rPr>
                    <w:t xml:space="preserve">Riesgo</w:t>
                  </w:r>
                </w:p>
              </w:tc>
              <w:tc>
                <w:tcPr>
                  <w:tcW w:type="dxa" w:w="79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005073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FFFFFF"/>
                      <w:sz w:val="20"/>
                      <w:szCs w:val="20"/>
                    </w:rPr>
                    <w:t xml:space="preserve">Prob.</w:t>
                  </w:r>
                </w:p>
              </w:tc>
              <w:tc>
                <w:tcPr>
                  <w:tcW w:type="dxa" w:w="79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005073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FFFFFF"/>
                      <w:sz w:val="20"/>
                      <w:szCs w:val="20"/>
                    </w:rPr>
                    <w:t xml:space="preserve">Impacto</w:t>
                  </w:r>
                </w:p>
              </w:tc>
              <w:tc>
                <w:tcPr>
                  <w:tcW w:type="dxa" w:w="501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005073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FFFFFF"/>
                      <w:sz w:val="20"/>
                      <w:szCs w:val="20"/>
                    </w:rPr>
                    <w:t xml:space="preserve">Mitigación</w:t>
                  </w:r>
                </w:p>
              </w:tc>
            </w:tr>
            <w:tr>
              <w:tc>
                <w:tcPr>
                  <w:tcW w:type="dxa" w:w="34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La empresa no proporcione información a tiempo</w:t>
                  </w:r>
                </w:p>
              </w:tc>
              <w:tc>
                <w:tcPr>
                  <w:tcW w:type="dxa" w:w="79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3/5</w:t>
                  </w:r>
                </w:p>
              </w:tc>
              <w:tc>
                <w:tcPr>
                  <w:tcW w:type="dxa" w:w="79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4/5</w:t>
                  </w:r>
                </w:p>
              </w:tc>
              <w:tc>
                <w:tcPr>
                  <w:tcW w:type="dxa" w:w="501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Reuniones semanales fijas con el contacto</w:t>
                  </w:r>
                </w:p>
              </w:tc>
            </w:tr>
            <w:tr>
              <w:tc>
                <w:tcPr>
                  <w:tcW w:type="dxa" w:w="34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Falta de datos históricos para IA</w:t>
                  </w:r>
                </w:p>
              </w:tc>
              <w:tc>
                <w:tcPr>
                  <w:tcW w:type="dxa" w:w="79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4/5</w:t>
                  </w:r>
                </w:p>
              </w:tc>
              <w:tc>
                <w:tcPr>
                  <w:tcW w:type="dxa" w:w="79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3/5</w:t>
                  </w:r>
                </w:p>
              </w:tc>
              <w:tc>
                <w:tcPr>
                  <w:tcW w:type="dxa" w:w="501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Generar datos de prueba; posponer IA al final</w:t>
                  </w:r>
                </w:p>
              </w:tc>
            </w:tr>
            <w:tr>
              <w:tc>
                <w:tcPr>
                  <w:tcW w:type="dxa" w:w="34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Cambios de alcance por parte del cliente</w:t>
                  </w:r>
                </w:p>
              </w:tc>
              <w:tc>
                <w:tcPr>
                  <w:tcW w:type="dxa" w:w="79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3/5</w:t>
                  </w:r>
                </w:p>
              </w:tc>
              <w:tc>
                <w:tcPr>
                  <w:tcW w:type="dxa" w:w="79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3/5</w:t>
                  </w:r>
                </w:p>
              </w:tc>
              <w:tc>
                <w:tcPr>
                  <w:tcW w:type="dxa" w:w="501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Documentar alcance y límites desde el inicio</w:t>
                  </w:r>
                </w:p>
              </w:tc>
            </w:tr>
            <w:tr>
              <w:tc>
                <w:tcPr>
                  <w:tcW w:type="dxa" w:w="34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Conflictos de horario entre el equipo</w:t>
                  </w:r>
                </w:p>
              </w:tc>
              <w:tc>
                <w:tcPr>
                  <w:tcW w:type="dxa" w:w="79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2/5</w:t>
                  </w:r>
                </w:p>
              </w:tc>
              <w:tc>
                <w:tcPr>
                  <w:tcW w:type="dxa" w:w="79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2/5</w:t>
                  </w:r>
                </w:p>
              </w:tc>
              <w:tc>
                <w:tcPr>
                  <w:tcW w:type="dxa" w:w="501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Comunicación asíncrona y reuniones semanales</w:t>
                  </w:r>
                </w:p>
              </w:tc>
            </w:tr>
            <w:tr>
              <w:tc>
                <w:tcPr>
                  <w:tcW w:type="dxa" w:w="34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Problemas de despliegue en producción</w:t>
                  </w:r>
                </w:p>
              </w:tc>
              <w:tc>
                <w:tcPr>
                  <w:tcW w:type="dxa" w:w="79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2/5</w:t>
                  </w:r>
                </w:p>
              </w:tc>
              <w:tc>
                <w:tcPr>
                  <w:tcW w:type="dxa" w:w="79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4/5</w:t>
                  </w:r>
                </w:p>
              </w:tc>
              <w:tc>
                <w:tcPr>
                  <w:tcW w:type="dxa" w:w="501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Dockerizar desde el inicio; probar en entorno similar</w:t>
                  </w:r>
                </w:p>
              </w:tc>
            </w:tr>
          </w:tbl>
          <w:p>
            <w:pPr>
              <w:spacing w:after="40" w:before="8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Suposiciones: la empresa dará acceso a información de prueba; el equipo tendrá ≥20 h/semana; el contacto estará disponible 1 vez por semana; la empresa cuenta con computadoras e internet; los datos de prueba serán representativos.</w:t>
            </w:r>
          </w:p>
          <w:p>
            <w:pPr>
              <w:spacing w:after="40" w:before="8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Restricciones: el sistema debe ser web; funcionar en equipos de especificaciones básicas; sin app móvil nativa en esta fase; presupuesto mínimo (académico); entrega en la semana 11; la IA requiere mínimo 3 meses de datos reales para ser útil.</w:t>
            </w:r>
          </w:p>
        </w:tc>
      </w:tr>
      <w:tr>
        <w:tc>
          <w:tcPr>
            <w:tcW w:type="dxa" w:w="999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005073" w:color="auto" w:val="clear"/>
            <w:tcMar>
              <w:top w:type="dxa" w:w="0"/>
              <w:left w:type="dxa" w:w="108"/>
              <w:bottom w:type="dxa" w:w="0"/>
              <w:right w:type="dxa" w:w="108"/>
            </w:tcMar>
          </w:tcPr>
          <w:p>
            <w:pPr>
              <w:spacing w:before="10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Estructura de gobernabilidad:</w:t>
            </w:r>
          </w:p>
        </w:tc>
      </w:tr>
      <w:tr>
        <w:tc>
          <w:tcPr>
            <w:tcW w:type="dxa" w:w="999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0"/>
              <w:left w:type="dxa" w:w="108"/>
              <w:bottom w:type="dxa" w:w="0"/>
              <w:right w:type="dxa" w:w="108"/>
            </w:tcMar>
          </w:tcPr>
          <w:p>
            <w:pPr>
              <w:spacing w:after="40" w:before="8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Impresos Trujillo no cuenta con un área de TI formal. Los dueños (Angel Almilcar Rodriguez Evangelista y Marcell Magaly Vasquez Loje) son los responsables de la toma de decisiones y de la supervisión del proyecto. El equipo de desarrollo (estudiantes Capstone) reporta a los dueños.</w:t>
            </w:r>
          </w:p>
          <w:p>
            <w:pPr>
              <w:spacing w:after="40" w:before="8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Mecanismos de rendición de cuentas: reuniones semanales de seguimiento, entregables por sprint y documentación de avances en el repositorio del proyecto. Los dueños validan los cambios de alcance.</w:t>
            </w:r>
          </w:p>
          <w:p>
            <w:pPr>
              <w:spacing w:after="40" w:before="8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Organigrama de la empresa</w:t>
            </w:r>
          </w:p>
          <w:p>
            <w:pPr>
              <w:spacing w:after="40" w:before="8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Gerencia / Dueños: Angel Almilcar Rodriguez Evangelista (dueño/encargado), Marcell Magaly Vasquez Loje (dueña). Personal del taller: 3-4 operarios de producción (nivel tecnológico básico). Clientes: externos que solicitan los trabajos. Equipo Capstone: estudiantes que desarrollan el sistema (interesados externos).</w:t>
            </w:r>
          </w:p>
        </w:tc>
      </w:tr>
      <w:tr>
        <w:tc>
          <w:tcPr>
            <w:tcW w:type="dxa" w:w="999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005073" w:color="auto" w:val="clear"/>
            <w:tcMar>
              <w:top w:type="dxa" w:w="0"/>
              <w:left w:type="dxa" w:w="108"/>
              <w:bottom w:type="dxa" w:w="0"/>
              <w:right w:type="dxa" w:w="108"/>
            </w:tcMar>
          </w:tcPr>
          <w:p>
            <w:pPr>
              <w:spacing w:before="10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Gerencia del Proyecto:</w:t>
            </w:r>
          </w:p>
        </w:tc>
      </w:tr>
      <w:tr>
        <w:tc>
          <w:tcPr>
            <w:tcW w:type="dxa" w:w="999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0"/>
              <w:left w:type="dxa" w:w="108"/>
              <w:bottom w:type="dxa" w:w="0"/>
              <w:right w:type="dxa" w:w="108"/>
            </w:tcMar>
          </w:tcPr>
          <w:p>
            <w:pPr>
              <w:spacing w:after="40" w:before="8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El equipo trabaja bajo un esquema MultiRol (Scrum): todos los integrantes participan en todas las fases del proyecto, sin asignación fija de una sola persona por función.</w:t>
            </w:r>
          </w:p>
          <w:tbl>
            <w:tblPr>
              <w:tblW w:type="dxa" w:w="999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00"/>
              <w:gridCol w:w="3300"/>
              <w:gridCol w:w="3390"/>
            </w:tblGrid>
            <w:tr>
              <w:tc>
                <w:tcPr>
                  <w:tcW w:type="dxa" w:w="33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005073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FFFFFF"/>
                      <w:sz w:val="20"/>
                      <w:szCs w:val="20"/>
                    </w:rPr>
                    <w:t xml:space="preserve">Rol principal</w:t>
                  </w:r>
                </w:p>
              </w:tc>
              <w:tc>
                <w:tcPr>
                  <w:tcW w:type="dxa" w:w="33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005073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FFFFFF"/>
                      <w:sz w:val="20"/>
                      <w:szCs w:val="20"/>
                    </w:rPr>
                    <w:t xml:space="preserve">Integrante</w:t>
                  </w:r>
                </w:p>
              </w:tc>
              <w:tc>
                <w:tcPr>
                  <w:tcW w:type="dxa" w:w="339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005073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FFFFFF"/>
                      <w:sz w:val="20"/>
                      <w:szCs w:val="20"/>
                    </w:rPr>
                    <w:t xml:space="preserve">Enfoque</w:t>
                  </w:r>
                </w:p>
              </w:tc>
            </w:tr>
            <w:tr>
              <w:tc>
                <w:tcPr>
                  <w:tcW w:type="dxa" w:w="33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Líder de Proyecto / Full Stack</w:t>
                  </w:r>
                </w:p>
              </w:tc>
              <w:tc>
                <w:tcPr>
                  <w:tcW w:type="dxa" w:w="33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Gerardo Erick Plasencia Torres</w:t>
                  </w:r>
                </w:p>
              </w:tc>
              <w:tc>
                <w:tcPr>
                  <w:tcW w:type="dxa" w:w="339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Arquitectura, backend, integración, coordinación con la empresa</w:t>
                  </w:r>
                </w:p>
              </w:tc>
            </w:tr>
            <w:tr>
              <w:tc>
                <w:tcPr>
                  <w:tcW w:type="dxa" w:w="33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Desarrollador Frontend</w:t>
                  </w:r>
                </w:p>
              </w:tc>
              <w:tc>
                <w:tcPr>
                  <w:tcW w:type="dxa" w:w="33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Jose Estibb Anhuaman Delgado</w:t>
                  </w:r>
                </w:p>
              </w:tc>
              <w:tc>
                <w:tcPr>
                  <w:tcW w:type="dxa" w:w="339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UI/UX, componentes Angular, dashboards; también asume QA/pruebas</w:t>
                  </w:r>
                </w:p>
              </w:tc>
            </w:tr>
            <w:tr>
              <w:tc>
                <w:tcPr>
                  <w:tcW w:type="dxa" w:w="33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Desarrollador Backend / IA</w:t>
                  </w:r>
                </w:p>
              </w:tc>
              <w:tc>
                <w:tcPr>
                  <w:tcW w:type="dxa" w:w="33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Jose Diego Rodriguez Vasquez</w:t>
                  </w:r>
                </w:p>
              </w:tc>
              <w:tc>
                <w:tcPr>
                  <w:tcW w:type="dxa" w:w="339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color="auto" w:val="clear"/>
                  <w:tcMar>
                    <w:top w:type="dxa" w:w="0"/>
                    <w:left w:type="dxa" w:w="108"/>
                    <w:bottom w:type="dxa" w:w="0"/>
                    <w:right w:type="dxa" w:w="108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API, lógica de negocio, modelos de IA, reportes; también asume QA/despliegue</w:t>
                  </w:r>
                </w:p>
              </w:tc>
            </w:tr>
          </w:tbl>
          <w:p>
            <w:pPr>
              <w:spacing w:after="40" w:before="8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Esquema MultiRol: funciones como QA, pruebas, documentación y despliegue se distribuyen entre los tres integrantes según la disponibilidad y el sprint, garantizando cobertura de roles (por ejemplo, aseguramiento de calidad) que no corresponden a una sola persona.</w:t>
            </w:r>
          </w:p>
        </w:tc>
      </w:tr>
      <w:tr>
        <w:tc>
          <w:tcPr>
            <w:tcW w:type="dxa" w:w="999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005073" w:color="auto" w:val="clear"/>
            <w:tcMar>
              <w:top w:type="dxa" w:w="0"/>
              <w:left w:type="dxa" w:w="108"/>
              <w:bottom w:type="dxa" w:w="0"/>
              <w:right w:type="dxa" w:w="108"/>
            </w:tcMar>
          </w:tcPr>
          <w:p>
            <w:pPr>
              <w:spacing w:before="10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Control de Cambios:</w:t>
            </w:r>
          </w:p>
        </w:tc>
      </w:tr>
      <w:tr>
        <w:tc>
          <w:tcPr>
            <w:tcW w:type="dxa" w:w="999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0"/>
              <w:left w:type="dxa" w:w="108"/>
              <w:bottom w:type="dxa" w:w="0"/>
              <w:right w:type="dxa" w:w="108"/>
            </w:tcMar>
          </w:tcPr>
          <w:p>
            <w:pPr>
              <w:spacing w:after="40" w:before="8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Los cambios se gestionan mediante el repositorio Git (ramas por funcionalidad, pull requests y code review). Toda modificación de alcance se documenta en este Acta (sección de límites del alcance) y en el Control de Cambios. Los cambios significativos requieren validación del líder de proyecto y comunicación a los dueños de la empresa. Se realiza seguimiento en reuniones semanales.</w:t>
            </w:r>
          </w:p>
        </w:tc>
      </w:tr>
    </w:tbl>
    <w:p>
      <w:r>
        <w:br w:type="page"/>
      </w:r>
    </w:p>
    <w:tbl>
      <w:tblPr>
        <w:tblW w:type="dxa" w:w="99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90"/>
      </w:tblGrid>
      <w:tr>
        <w:tc>
          <w:tcPr>
            <w:tcW w:type="dxa" w:w="999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005073" w:color="auto" w:val="clear"/>
            <w:tcMar>
              <w:top w:type="dxa" w:w="0"/>
              <w:left w:type="dxa" w:w="108"/>
              <w:bottom w:type="dxa" w:w="0"/>
              <w:right w:type="dxa" w:w="108"/>
            </w:tcMar>
          </w:tcPr>
          <w:p>
            <w:pPr>
              <w:spacing w:before="10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Aprobado por:</w:t>
            </w:r>
          </w:p>
        </w:tc>
      </w:tr>
      <w:tr>
        <w:tc>
          <w:tcPr>
            <w:tcW w:type="dxa" w:w="99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0"/>
              <w:left w:type="dxa" w:w="108"/>
              <w:bottom w:type="dxa" w:w="0"/>
              <w:right w:type="dxa" w:w="108"/>
            </w:tcMar>
          </w:tcPr>
          <w:p>
            <w:pPr>
              <w:spacing w:after="40" w:before="10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Por la empresa (cliente): Angel Almilcar Rodriguez Evangelista — Dueño / Encargado de Impresos Trujillo E.I.R.L.</w:t>
            </w:r>
          </w:p>
          <w:p>
            <w:pPr>
              <w:spacing w:after="40" w:before="8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Por el equipo (líder de proyecto): Gerardo Erick Plasencia Torres — Líder de Proyecto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2026-08-29T04:30:40.807Z</dcterms:created>
  <dcterms:modified xsi:type="dcterms:W3CDTF">2026-08-29T04:30:40.807Z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