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24"/>
        </w:rPr>
        <w:t>UNIVERSIDAD PRIVADA DEL NORTE</w:t>
        <w:br/>
      </w:r>
      <w:r>
        <w:rPr>
          <w:rFonts w:ascii="Calibri" w:hAnsi="Calibri"/>
          <w:b/>
          <w:sz w:val="20"/>
        </w:rPr>
        <w:t>FACULTAD DE INGENIERÍA | INGENIERÍA DE SISTEMAS COMPUTACIONALES</w:t>
        <w:br/>
      </w:r>
      <w:r>
        <w:rPr>
          <w:rFonts w:ascii="Calibri" w:hAnsi="Calibri"/>
          <w:color w:val="64748B"/>
          <w:sz w:val="20"/>
        </w:rPr>
        <w:t>PROYECTO CAPSTONE (2026-II) — IMPRESOS TRUJILLO E.I.R.L.</w:t>
        <w:br/>
      </w:r>
    </w:p>
    <w:p>
      <w:pPr>
        <w:jc w:val="center"/>
      </w:pPr>
      <w:r>
        <w:rPr>
          <w:rFonts w:ascii="Calibri" w:hAnsi="Calibri"/>
          <w:b/>
          <w:color w:val="1F4E79"/>
          <w:sz w:val="28"/>
        </w:rPr>
        <w:t>ENTREGABLE SEMANA 06 | SCRUM DIARIO (REGISTRO 03)</w:t>
      </w:r>
    </w:p>
    <w:p>
      <w:pPr>
        <w:jc w:val="center"/>
      </w:pPr>
      <w:r>
        <w:rPr>
          <w:rFonts w:ascii="Calibri" w:hAnsi="Calibri"/>
          <w:i/>
          <w:color w:val="64748B"/>
          <w:sz w:val="19"/>
        </w:rPr>
        <w:t>Período: 28/09/2026 al 03/10/2026 | Entorno: Docker Compose + Pipeline CI/CD a VPS (imprenta.darknezz.dev)</w:t>
        <w:br/>
        <w:t>Equipo: Gerardo Erick Plasencia Torres, Jose Estibb Anhuaman Delgado, Jose Diego Rodriguez Vasquez</w:t>
      </w:r>
    </w:p>
    <w:p>
      <w:r>
        <w:rPr>
          <w:rFonts w:ascii="Calibri" w:hAnsi="Calibri"/>
          <w:b/>
          <w:color w:val="1F4E79"/>
          <w:sz w:val="22"/>
        </w:rPr>
        <w:t>1. Resumen Ejecutivo y Métricas del Período (28/09/2026 al 03/10/2026)</w:t>
      </w:r>
    </w:p>
    <w:p>
      <w:pPr>
        <w:spacing w:line="276" w:lineRule="auto"/>
      </w:pPr>
      <w:r>
        <w:rPr>
          <w:rFonts w:ascii="Calibri" w:hAnsi="Calibri"/>
          <w:sz w:val="19"/>
        </w:rPr>
        <w:t>• Total tareas abordadas en el ciclo: 18 tareas técnicas y metodológicas (100% completadas).</w:t>
        <w:br/>
        <w:t>• Digitalización y depuración de datos: recepción y transcripción del lote de boletas físicas y talonarios manuales entregados por la administración del taller, estructurando el dataset histórico normalizado para BI e IA.</w:t>
        <w:br/>
        <w:t>• Subsanaciones técnicas aplicadas: 8 precisiones de clase resueltas y verificadas al 100% (objetivos, APA 7ma, costeo 31 paquetes EDT, grafo y PDS).</w:t>
        <w:br/>
        <w:t>• Cobertura de pruebas automatizadas: 375 pruebas passing al 100% (93 backend con pytest + 282 frontend con Vitest).</w:t>
        <w:br/>
        <w:t>• Deuda técnica: 0% de deuda técnica en pruebas y documentación.</w:t>
        <w:br/>
        <w:t>• Entorno de Producción: Sistema operativo en VPS propio (https://imprenta.darknezz.dev) con pipeline CI/CD en GitHub Actions.</w:t>
        <w:br/>
        <w:t>• Sesión Académica Regular: Participación activa en la clase regular del sábado 03/10/2026 con el docente asesor.</w:t>
        <w:br/>
        <w:t>• Avance Físico Real Acumulado: 42.0% frente a un valor planificado de 40.0% (SPI = 1.05, CPI = 1.02, semáforo VERDE).</w:t>
      </w:r>
    </w:p>
    <w:p>
      <w:r>
        <w:rPr>
          <w:rFonts w:ascii="Calibri" w:hAnsi="Calibri"/>
          <w:b/>
          <w:color w:val="1F4E79"/>
          <w:sz w:val="22"/>
        </w:rPr>
        <w:t>2. Registro Detallado del Tablero Scrum Diario (Daily Standup)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8" w:space="0" w:color="1E3A8A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SPRINT / DÍA</w:t>
            </w:r>
          </w:p>
        </w:tc>
        <w:tc>
          <w:tcPr>
            <w:tcW w:type="dxa" w:w="2160"/>
            <w:shd w:fill="3341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HACER (To Do)</w:t>
            </w:r>
          </w:p>
        </w:tc>
        <w:tc>
          <w:tcPr>
            <w:tcW w:type="dxa" w:w="1584"/>
            <w:shd w:fill="B4530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 ESPERA (On Hold)</w:t>
            </w:r>
          </w:p>
        </w:tc>
        <w:tc>
          <w:tcPr>
            <w:tcW w:type="dxa" w:w="2016"/>
            <w:shd w:fill="1D4ED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HACIENDO (In Progress)</w:t>
            </w:r>
          </w:p>
        </w:tc>
        <w:tc>
          <w:tcPr>
            <w:tcW w:type="dxa" w:w="2304"/>
            <w:shd w:fill="15803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TERMINADO (Done)</w:t>
            </w:r>
          </w:p>
        </w:tc>
      </w:tr>
      <w:tr>
        <w:tc>
          <w:tcPr>
            <w:tcW w:type="dxa" w:w="1584"/>
            <w:shd w:fill="F8FAFC"/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sz w:val="16"/>
              </w:rPr>
              <w:t>Día 1: Lunes 28/09/2026</w:t>
              <w:br/>
              <w:t>Planificación y Recepción de Boletas Físicas</w:t>
            </w:r>
          </w:p>
        </w:tc>
        <w:tc>
          <w:tcPr>
            <w:tcW w:type="dxa" w:w="2160"/>
            <w:shd w:fill="FFFF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[T-40] Revisión de feedback técnico de la sesión anterior para el avance continuo del proyecto. (Equipo)</w:t>
              <w:br/>
              <w:t>• [T-41] Planificación del backlog y asignación de tareas: precisiones técnicas y digitalización del histórico. (Gerardo)</w:t>
              <w:br/>
              <w:t>• [T-42] Recepción, inventario y clasificación del lote de boletas físicas y talonarios manuales entregados por la administración del taller. (Diego, Estibb)</w:t>
            </w:r>
          </w:p>
        </w:tc>
        <w:tc>
          <w:tcPr>
            <w:tcW w:type="dxa" w:w="1584"/>
            <w:shd w:fill="FFFBEB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Sin impedimentos operativos al inicio del ciclo.</w:t>
            </w:r>
          </w:p>
        </w:tc>
        <w:tc>
          <w:tcPr>
            <w:tcW w:type="dxa" w:w="2016"/>
            <w:shd w:fill="EFF6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[T-40] Análisis de consistencia de objetivos, estructura de costeo por paquetes y jerarquía EDT. (Gerardo, Diego, Estibb)</w:t>
              <w:br/>
              <w:t>• [T-41 / T-42] Clasificación preliminar de boletas físicas por línea de producto (gigantografías, vinilos y rollos UV DTF) y rango de fechas. (Diego, Estibb)</w:t>
            </w:r>
          </w:p>
        </w:tc>
        <w:tc>
          <w:tcPr>
            <w:tcW w:type="dxa" w:w="2304"/>
            <w:shd w:fill="F0FDF4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[T-40] Plan de trabajo formalizado y distribuido entre los miembros del equipo. (Equipo)</w:t>
              <w:br/>
              <w:t>• [T-41 / T-42] Lote de boletas físicas recepcionado y clasificado para su transcripción a formato digital. (Diego, Estibb)</w:t>
            </w:r>
          </w:p>
        </w:tc>
      </w:tr>
      <w:tr>
        <w:tc>
          <w:tcPr>
            <w:tcW w:type="dxa" w:w="1584"/>
            <w:shd w:fill="F8FAFC"/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sz w:val="16"/>
              </w:rPr>
              <w:t>Día 2: Martes 29/09/2026</w:t>
              <w:br/>
              <w:t>Antecedentes en Prosa y Objetivos</w:t>
            </w:r>
          </w:p>
        </w:tc>
        <w:tc>
          <w:tcPr>
            <w:tcW w:type="dxa" w:w="2160"/>
            <w:shd w:fill="FFFF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[T-43] Redacción de antecedentes en prosa académica continua APA 7ma (6 tesis reales del sector gráfico). (Diego)</w:t>
              <w:br/>
              <w:t>• [T-44] Estandarización del Objetivo General (omitiendo 'y financieros') y los 5 Objetivos Específicos. (Gerardo)</w:t>
              <w:br/>
              <w:t>• [T-45] Verificación de coherencia integral entre Matriz de Consistencia, Estructura de Análisis y Business Case. (Estibb)</w:t>
            </w:r>
          </w:p>
        </w:tc>
        <w:tc>
          <w:tcPr>
            <w:tcW w:type="dxa" w:w="1584"/>
            <w:shd w:fill="FFFBEB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Sin bloqueos técnicos.</w:t>
            </w:r>
          </w:p>
        </w:tc>
        <w:tc>
          <w:tcPr>
            <w:tcW w:type="dxa" w:w="2016"/>
            <w:shd w:fill="EFF6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[T-43] Diego consolida los aportes metodológicos de las tesis nacionales e internacionales en prosa fluida con normas APA 7ma. (Diego)</w:t>
              <w:br/>
              <w:t>• [T-44 / T-45] Gerardo y Estibb auditan los objetivos en todos los documentos para asegurar total alineación. (Gerardo, Estibb)</w:t>
            </w:r>
          </w:p>
        </w:tc>
        <w:tc>
          <w:tcPr>
            <w:tcW w:type="dxa" w:w="2304"/>
            <w:shd w:fill="F0FDF4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[T-43] Antecedentes en prosa académica continua integrados al informe técnico. (Diego)</w:t>
              <w:br/>
              <w:t>• [T-44 / T-45] Objetivos Generales y Específicos estandarizados y alineados palabra por palabra. (Gerardo, Estibb)</w:t>
            </w:r>
          </w:p>
        </w:tc>
      </w:tr>
      <w:tr>
        <w:tc>
          <w:tcPr>
            <w:tcW w:type="dxa" w:w="1584"/>
            <w:shd w:fill="F8FAFC"/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sz w:val="16"/>
              </w:rPr>
              <w:t>Día 3: Miércoles 30/09/2026</w:t>
              <w:br/>
              <w:t>Costeo EDT y Transcripción Digital de Boletas</w:t>
            </w:r>
          </w:p>
        </w:tc>
        <w:tc>
          <w:tcPr>
            <w:tcW w:type="dxa" w:w="2160"/>
            <w:shd w:fill="FFFF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[T-46] Reestructuración del presupuesto del proyecto mediante costeo por paquetes de trabajo EDT Nivel 2. (Gerardo)</w:t>
              <w:br/>
              <w:t>• [T-47] Desglose granular del presupuesto en 31 paquetes de trabajo (EDT 1.1 al EDT 8.5) y 60 actividades. (Gerardo)</w:t>
              <w:br/>
              <w:t>• [T-48] Digitalización y transcripción estructurada de boletas físicas (fechas, m2, insumos, importes, anticipos y saldos). (Diego, Estibb)</w:t>
            </w:r>
          </w:p>
        </w:tc>
        <w:tc>
          <w:tcPr>
            <w:tcW w:type="dxa" w:w="1584"/>
            <w:shd w:fill="FFFBEB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Sin impedimentos activos.</w:t>
            </w:r>
          </w:p>
        </w:tc>
        <w:tc>
          <w:tcPr>
            <w:tcW w:type="dxa" w:w="2016"/>
            <w:shd w:fill="EFF6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[T-46 / T-47] Gerardo programa la jerarquía de paquetes de trabajo, subtotales y categorización de recursos (S/ 5,100.00). (Gerardo)</w:t>
              <w:br/>
              <w:t>• [T-48] Diego y Estibb transcriben y estructuran más de 150 registros de órdenes en formato tabular normalizado para el dataset. (Diego, Estibb)</w:t>
            </w:r>
          </w:p>
        </w:tc>
        <w:tc>
          <w:tcPr>
            <w:tcW w:type="dxa" w:w="2304"/>
            <w:shd w:fill="F0FDF4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[T-46 / T-47] Plantilla de costeo por paquetes de trabajo actualizada con fórmulas dinámicas y resumen consolidado. (Gerardo)</w:t>
              <w:br/>
              <w:t>• [T-48] Estructuración preliminar del dataset transaccional histórico a partir de las boletas físicas. (Diego, Estibb)</w:t>
            </w:r>
          </w:p>
        </w:tc>
      </w:tr>
      <w:tr>
        <w:tc>
          <w:tcPr>
            <w:tcW w:type="dxa" w:w="1584"/>
            <w:shd w:fill="F8FAFC"/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sz w:val="16"/>
              </w:rPr>
              <w:t>Día 4: Jueves 01/10/2026</w:t>
              <w:br/>
              <w:t>Grafo EDT y Depuración de Dataset BI / IA</w:t>
            </w:r>
          </w:p>
        </w:tc>
        <w:tc>
          <w:tcPr>
            <w:tcW w:type="dxa" w:w="2160"/>
            <w:shd w:fill="FFFF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[T-49] Generación del árbol jerárquico EDT en alta resolución con códigos de actividad (1.1.1 al 8.5.1). (Gerardo)</w:t>
              <w:br/>
              <w:t>• [T-50] Actualización de tablas de control de versiones incorporando los cargos formales de los stakeholders. (Estibb)</w:t>
              <w:br/>
              <w:t>• [T-51] Depuración y validación del dataset histórico: imputación de dimensiones, cálculo de mermas y categorización de insumos para BI e IA. (Diego)</w:t>
            </w:r>
          </w:p>
        </w:tc>
        <w:tc>
          <w:tcPr>
            <w:tcW w:type="dxa" w:w="1584"/>
            <w:shd w:fill="FFFBEB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Sin bloqueos técnicos.</w:t>
            </w:r>
          </w:p>
        </w:tc>
        <w:tc>
          <w:tcPr>
            <w:tcW w:type="dxa" w:w="2016"/>
            <w:shd w:fill="EFF6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[T-49] Gerardo implementa script vectorial para el árbol jerárquico completo de 8 fases y actividades codificadas. (Gerardo)</w:t>
              <w:br/>
              <w:t>• [T-50] Estibb actualiza las tablas de control de cambios con cargos formales de stakeholders. (Estibb)</w:t>
              <w:br/>
              <w:t>• [T-51] Diego aplica reglas de limpieza de datos en Python/Pandas sobre el histórico digitalizado de boletas. (Diego)</w:t>
            </w:r>
          </w:p>
        </w:tc>
        <w:tc>
          <w:tcPr>
            <w:tcW w:type="dxa" w:w="2304"/>
            <w:shd w:fill="F0FDF4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[T-49] Grafo EDT en alta resolución generado e integrado en la documentación del proyecto. (Gerardo)</w:t>
              <w:br/>
              <w:t>• [T-50] Tablas de control de versiones actualizadas con cargos formales e institucionales. (Estibb)</w:t>
              <w:br/>
              <w:t>• [T-51] Dataset histórico normalizado y depurado, listo para alimentar el Dashboard BI y el modelo predictivo IA. (Diego)</w:t>
            </w:r>
          </w:p>
        </w:tc>
      </w:tr>
      <w:tr>
        <w:tc>
          <w:tcPr>
            <w:tcW w:type="dxa" w:w="1584"/>
            <w:shd w:fill="F8FAFC"/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sz w:val="16"/>
              </w:rPr>
              <w:t>Día 5: Viernes 02/10/2026</w:t>
              <w:br/>
              <w:t>Desglose de Entregables, CI/CD y Pruebas</w:t>
            </w:r>
          </w:p>
        </w:tc>
        <w:tc>
          <w:tcPr>
            <w:tcW w:type="dxa" w:w="2160"/>
            <w:shd w:fill="FFFF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[T-52] Expansión del ítem 6 (Entregables) del Plan de Desarrollo de Software a 35 filas individuales. (Estibb)</w:t>
              <w:br/>
              <w:t>• [T-53] Ejecución y validación del pipeline CI/CD en GitHub Actions con suite de 375 pruebas unitarias automatizadas. (Diego, Gerardo)</w:t>
              <w:br/>
              <w:t>• [T-54] Verificación del despliegue en servidor VPS propio (https://imprenta.darknezz.dev) bajo Ubuntu Server y Nginx SSL. (Gerardo)</w:t>
            </w:r>
          </w:p>
        </w:tc>
        <w:tc>
          <w:tcPr>
            <w:tcW w:type="dxa" w:w="1584"/>
            <w:shd w:fill="FFFBEB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Sin impedimentos activos tras validar suite de pruebas.</w:t>
            </w:r>
          </w:p>
        </w:tc>
        <w:tc>
          <w:tcPr>
            <w:tcW w:type="dxa" w:w="2016"/>
            <w:shd w:fill="EFF6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[T-52] Estibb y Gerardo desglosan la tabla de entregables del PDS en 35 filas independientes con criterios de aceptación. (Estibb, Gerardo)</w:t>
              <w:br/>
              <w:t>• [T-53] Diego valida las pruebas de backend con pytest (93 tests) y frontend con Jasmine/Karma (282 tests). (Diego)</w:t>
              <w:br/>
              <w:t>• [T-54] Verificación de salud y endpoints de la API en el VPS de producción. (Gerardo)</w:t>
            </w:r>
          </w:p>
        </w:tc>
        <w:tc>
          <w:tcPr>
            <w:tcW w:type="dxa" w:w="2304"/>
            <w:shd w:fill="F0FDF4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[T-52] Plan de Desarrollo de Software actualizado con 35 entregables individuales. (Estibb)</w:t>
              <w:br/>
              <w:t>• [T-53] Pipeline CI/CD verificado en verde con 375 pruebas pasando al 100% (0 fallos). (Diego, Gerardo)</w:t>
              <w:br/>
              <w:t>• [T-54] Sistema estable y operativo en servidor VPS particular propio. (Gerardo)</w:t>
            </w:r>
          </w:p>
        </w:tc>
      </w:tr>
      <w:tr>
        <w:tc>
          <w:tcPr>
            <w:tcW w:type="dxa" w:w="1584"/>
            <w:shd w:fill="F8FAFC"/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sz w:val="16"/>
              </w:rPr>
              <w:t>Día 6: Sábado 03/10/2026</w:t>
              <w:br/>
              <w:t>Clase de Avance y Entrega Presencial AAE-02</w:t>
            </w:r>
          </w:p>
        </w:tc>
        <w:tc>
          <w:tcPr>
            <w:tcW w:type="dxa" w:w="2160"/>
            <w:shd w:fill="FFFF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[T-55] Asistencia y participación en la sesión académica regular de clase con el docente asesor. (Equipo)</w:t>
              <w:br/>
              <w:t>• [T-56] Reunión técnica presencial en taller de Impresos Trujillo E.I.R.L. con Juan Carlos Plasencia y Marcell Vásquez; demostración del dataset de boletas y módulo de caja en VPS. (Equipo)</w:t>
              <w:br/>
              <w:t>• [T-57] Suscripción formal del Acta de Aceptación de Entregables AAE-02 por parte de la gerencia general y administración de la empresa. (Equipo)</w:t>
            </w:r>
          </w:p>
        </w:tc>
        <w:tc>
          <w:tcPr>
            <w:tcW w:type="dxa" w:w="1584"/>
            <w:shd w:fill="FFFBEB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Cero impedimentos operativos tras la conformidad del cliente.</w:t>
            </w:r>
          </w:p>
        </w:tc>
        <w:tc>
          <w:tcPr>
            <w:tcW w:type="dxa" w:w="2016"/>
            <w:shd w:fill="EFF6FF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[T-55] Participación en la sesión regular de clase mostrando los avances en arquitectura, dataset histórico y pruebas. (Equipo)</w:t>
              <w:br/>
              <w:t>• [T-56 / T-57] Reunión presencial en taller gráfico (Av. España 254, Trujillo), validación de comprobantes digitalizados, verificación del candado de cobro en VPS y formalización de firmas. (Equipo)</w:t>
            </w:r>
          </w:p>
        </w:tc>
        <w:tc>
          <w:tcPr>
            <w:tcW w:type="dxa" w:w="2304"/>
            <w:shd w:fill="F0FDF4"/>
          </w:tcPr>
          <w:p>
            <w:pPr>
              <w:spacing w:line="264" w:lineRule="auto" w:after="40"/>
              <w:jc w:val="left"/>
            </w:pPr>
            <w:r>
              <w:rPr>
                <w:rFonts w:ascii="Calibri" w:hAnsi="Calibri"/>
                <w:sz w:val="16"/>
              </w:rPr>
              <w:t>• [T-55] Sesión académica de clase de avance realizada satisfactoriamente con el docente asesor. (Equipo)</w:t>
              <w:br/>
              <w:t>• [T-56 / T-57] Acta de Aceptación de Entregables AAE-02 formalizada y suscrita por la gerencia de Impresos Trujillo E.I.R.L., aprobando el dataset DATASET-BOLETAS-v1.csv, el release v1.0 en VPS y la suite de pruebas. (Equipo)</w:t>
              <w:br/>
              <w:t>• Cierre formal de la Semana 6 con 42.0% de avance físico real acumulado y cronograma en semáforo verde (SPI = 1.05, CPI = 1.02). (Equipo)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