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24"/>
        </w:rPr>
        <w:t>UNIVERSIDAD PRIVADA DEL NORTE</w:t>
        <w:br/>
      </w:r>
      <w:r>
        <w:rPr>
          <w:rFonts w:ascii="Calibri" w:hAnsi="Calibri"/>
          <w:b/>
          <w:color w:val="333333"/>
          <w:sz w:val="20"/>
        </w:rPr>
        <w:t>FACULTAD DE INGENIERÍA | INGENIERÍA DE SISTEMAS COMPUTACIONALES</w:t>
        <w:br/>
      </w:r>
      <w:r>
        <w:rPr>
          <w:rFonts w:ascii="Calibri" w:hAnsi="Calibri"/>
          <w:color w:val="666666"/>
          <w:sz w:val="20"/>
        </w:rPr>
        <w:t>PROYECTO CAPSTONE (2026-II) — IMPRESOS TRUJILLO E.I.R.L.</w:t>
        <w:br/>
      </w:r>
    </w:p>
    <w:p>
      <w:pPr>
        <w:jc w:val="center"/>
      </w:pPr>
      <w:r>
        <w:rPr>
          <w:rFonts w:ascii="Calibri" w:hAnsi="Calibri"/>
          <w:b/>
          <w:color w:val="1F4E79"/>
          <w:sz w:val="28"/>
        </w:rPr>
        <w:t>ENTREGABLE SEMANA 05: PRESUPUESTO Y COSTEO POR PAQUETE DE TRABAJO (EDT)</w:t>
      </w:r>
    </w:p>
    <w:p>
      <w:pPr>
        <w:jc w:val="center"/>
      </w:pPr>
      <w:r>
        <w:rPr>
          <w:rFonts w:ascii="Calibri" w:hAnsi="Calibri"/>
          <w:i/>
          <w:color w:val="666666"/>
          <w:sz w:val="19"/>
        </w:rPr>
        <w:t>Archivo Oficial en Excel Vinculado: Plantilla Costeo x Paq Trabajo_v3.xlsx</w:t>
        <w:br/>
        <w:t>Período: 16 Semanas (22/08/2026 - 11/12/2026) | Stack: Angular 21 + FastAPI + PostgreSQL (Docker) + VPS</w:t>
      </w:r>
    </w:p>
    <w:p>
      <w:r>
        <w:rPr>
          <w:rFonts w:ascii="Calibri" w:hAnsi="Calibri"/>
          <w:b/>
          <w:color w:val="1F4E79"/>
          <w:sz w:val="22"/>
        </w:rPr>
        <w:t>Control de Versiones y Registro de Cambios del Documento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156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156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Autor / Cargo</w:t>
            </w:r>
          </w:p>
        </w:tc>
        <w:tc>
          <w:tcPr>
            <w:tcW w:type="dxa" w:w="156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Revisor / Cargo</w:t>
            </w:r>
          </w:p>
        </w:tc>
        <w:tc>
          <w:tcPr>
            <w:tcW w:type="dxa" w:w="156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Aprobador / Cargo</w:t>
            </w:r>
          </w:p>
        </w:tc>
        <w:tc>
          <w:tcPr>
            <w:tcW w:type="dxa" w:w="156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Descripción del Cambio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18/09/2026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G. Plasencia</w:t>
              <w:br/>
              <w:t>(Líder / Full Stack)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J. Anhuaman</w:t>
              <w:br/>
              <w:t>(Frontend / UX)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J. C. Plasencia</w:t>
              <w:br/>
              <w:t>(Gerente General)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Versión inicial del presupuesto base por fases globales.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2.0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25/09/2026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G. Plasencia</w:t>
              <w:br/>
              <w:t>(Líder / Full Stack)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J. Rodriguez</w:t>
              <w:br/>
              <w:t>(Backend / DBA)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J. C. Plasencia</w:t>
              <w:br/>
              <w:t>(Gerente General)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Reestructuración rigurosa por los 31 Paquetes de Trabajo (Nivel 2 EDT) y 60 actividades, fórmulas en Excel y alineamiento a observaciones de cátedra.</w:t>
            </w:r>
          </w:p>
        </w:tc>
      </w:tr>
    </w:tbl>
    <w:p/>
    <w:p>
      <w:r>
        <w:rPr>
          <w:rFonts w:ascii="Calibri" w:hAnsi="Calibri"/>
          <w:b/>
          <w:color w:val="1F4E79"/>
          <w:sz w:val="22"/>
        </w:rPr>
        <w:t>1. Resumen Ejecutivo del Presupuesto y Métricas de Rentabilidad</w:t>
      </w:r>
    </w:p>
    <w:p>
      <w:r>
        <w:rPr>
          <w:rFonts w:ascii="Calibri" w:hAnsi="Calibri"/>
          <w:color w:val="333333"/>
          <w:sz w:val="19"/>
        </w:rPr>
        <w:t>En riguroso acatamiento a las directrices metodológicas de la cátedra de Capstone y las observaciones docentes, el presente presupuesto se encuentra estructurado de forma granular por los 31 Paquetes de Trabajo (EDT Nivel 2) y sus 60 actividades constitutivas (EDT Nivel 3 y 4). Cada actividad cuantifica con exactitud los recursos asignados en Recursos Humanos (RRHH), Maquinaria / Equipos / Infraestructura y Consumibles / Servicios, sumando un costo total autofinanciado de S/ 5,100.00.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Indicador Financiero</w:t>
            </w:r>
          </w:p>
        </w:tc>
        <w:tc>
          <w:tcPr>
            <w:tcW w:type="dxa" w:w="23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Valor Cuantificado</w:t>
            </w:r>
          </w:p>
        </w:tc>
        <w:tc>
          <w:tcPr>
            <w:tcW w:type="dxa" w:w="23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type="dxa" w:w="23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Impacto en Impresos Trujillo E.I.R.L.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Inversión Total Presupuestada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7"/>
              </w:rPr>
              <w:t>S/ 5,100.00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Autofinanciada por el equipo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Costo directo valorizado en horas de ingeniería y hosting VPS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Ahorro Mensual Estimado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7"/>
              </w:rPr>
              <w:t>S/ 1,180.00 / mes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Reducción de mermas y errores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Control estricto de bobinas UV DTF y anticipo obligatorio 50%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Beneficio Bruto Anual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7"/>
              </w:rPr>
              <w:t>S/ 14,160.00 / año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Flujo operativo incremental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Ahorro directo en papel, tintas y cobro efectivo de saldos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Valor Actual Neto (VAN a 3 años)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7"/>
              </w:rPr>
              <w:t>S/ 16,842.50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VAN &gt; 0 (Tasa COK: 15.0%)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El proyecto genera alto valor económico acumulado para el taller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Tasa Interna de Retorno (TIR)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7"/>
              </w:rPr>
              <w:t>64.80%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TIR &gt; COK (15.0%)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Rentabilidad altamente superior al costo de oportunidad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Período de Recuperación (Payback)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7"/>
              </w:rPr>
              <w:t>7.6 meses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&lt; 1 año desde puesta en marcha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Retorno expedito del capital de trabajo autofinanciado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Relación Beneficio / Costo (B/C)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sz w:val="17"/>
              </w:rPr>
              <w:t>3.25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B/C &gt; 1.0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Por cada sol invertido, se recuperan S/ 3.25 en ahorros operativos</w:t>
            </w:r>
          </w:p>
        </w:tc>
      </w:tr>
    </w:tbl>
    <w:p/>
    <w:p>
      <w:r>
        <w:rPr>
          <w:rFonts w:ascii="Calibri" w:hAnsi="Calibri"/>
          <w:b/>
          <w:color w:val="1F4E79"/>
          <w:sz w:val="22"/>
        </w:rPr>
        <w:t>2. Desglose Consolidado del Presupuesto por Paquete de Trabajo (EDT Nivel 2)</w:t>
      </w:r>
    </w:p>
    <w:p>
      <w:r>
        <w:rPr>
          <w:rFonts w:ascii="Calibri" w:hAnsi="Calibri"/>
          <w:color w:val="333333"/>
          <w:sz w:val="19"/>
        </w:rPr>
        <w:t>A continuación se presenta el consolidado formal de los 31 Paquetes de Trabajo agrupados en sus 8 Fases maestras, conforme a la estructura aprobada en el grafo EDT del proyecto y replicada en la hoja 'Resumen_Consolidado' del libro oficial en Excel.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1337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1337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Paquete de Trabajo (EDT Nivel 2)</w:t>
            </w:r>
          </w:p>
        </w:tc>
        <w:tc>
          <w:tcPr>
            <w:tcW w:type="dxa" w:w="1337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RRHH (S/)</w:t>
            </w:r>
          </w:p>
        </w:tc>
        <w:tc>
          <w:tcPr>
            <w:tcW w:type="dxa" w:w="1337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Equipos (S/)</w:t>
            </w:r>
          </w:p>
        </w:tc>
        <w:tc>
          <w:tcPr>
            <w:tcW w:type="dxa" w:w="1337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Consumibles (S/)</w:t>
            </w:r>
          </w:p>
        </w:tc>
        <w:tc>
          <w:tcPr>
            <w:tcW w:type="dxa" w:w="1337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Total (S/)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1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1.1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Acta de Constitución y Validación Inicial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120.00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50.00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30.00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200.00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1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1.2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Business Case y Viabilidad Económica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120.00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35.00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45.00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200.00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1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1.3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Planificación Inicial del Proyecto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144.00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40.00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36.00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220.00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1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1.4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Planes Subsidiarios de Gestión del Software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280.00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70.00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70.00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420.00</w:t>
            </w:r>
          </w:p>
        </w:tc>
      </w:tr>
      <w:tr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SUBTOTAL FASE 1.0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>GESTIÓN DEL PROYECTO (LÍNEA BASE Y DIRECCIÓN)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664.00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195.00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181.00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1,040.00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2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2.1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Requerimientos de Software (SRS IEEE 830)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136.00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30.00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24.00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190.00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2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2.2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Estructura de Análisis y Antecedentes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64.00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16.00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2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2.3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Matriz de Consistencia Lógica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64.00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16.00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100.00</w:t>
            </w:r>
          </w:p>
        </w:tc>
      </w:tr>
      <w:tr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SUBTOTAL FASE 2.0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>ANÁLISIS Y ESPECIFICACIÓN DE REQUERIMIENTOS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264.00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70.00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56.00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390.00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3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3.1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Arquitectura del Sistema (C4 N1/N2, VPS Docker)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96.00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30.00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24.00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150.00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3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3.2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Modelado Ágil e Historias de Usuario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64.00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16.00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3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3.3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Base de Datos Relacional PostgreSQL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80.00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25.00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125.00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3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3.4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Prototipos e Interfaces UI Angular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80.00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25.00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125.00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3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3.5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Matriz de Trazabilidad de Requisitos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72.00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18.00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110.00</w:t>
            </w:r>
          </w:p>
        </w:tc>
      </w:tr>
      <w:tr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SUBTOTAL FASE 3.0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>DISEÑO DE LA SOLUCIÓN Y ARQUITECTURA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392.00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120.00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98.00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610.00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4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4.1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Módulo Transaccional Base y Catálogo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244.00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70.00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46.00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360.00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4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4.2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Cobros, Caja, BI y Control Operativo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256.00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80.00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44.00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380.00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4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4.3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Modelo Predictivo de Demanda e IA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80.00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120.00</w:t>
            </w:r>
          </w:p>
        </w:tc>
      </w:tr>
      <w:tr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SUBTOTAL FASE 4.0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>CONSTRUCCIÓN DEL PRODUCTO (CORE, BI E IA)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580.00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170.00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110.00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860.00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5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5.1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Pruebas de Software Automatizadas (QA)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256.00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70.00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64.00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390.00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5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5.2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Aseguramiento de Calidad SQA y CI/CD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80.00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120.00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5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5.3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Evaluación Operativa en Planta (UAT/SUS)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40.00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60.00</w:t>
            </w:r>
          </w:p>
        </w:tc>
      </w:tr>
      <w:tr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SUBTOTAL FASE 5.0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>ASEGURAMIENTO DE CALIDAD (QA, PRUEBAS Y SQA)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376.00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100.00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94.00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570.00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6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6.1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Despliegue en Servidor VPS y Entrega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268.00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70.00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42.00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380.00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6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6.2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Capacitación Operativa y Manuales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212.00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65.00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43.00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320.00</w:t>
            </w:r>
          </w:p>
        </w:tc>
      </w:tr>
      <w:tr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SUBTOTAL FASE 6.0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>DESPLIEGUE EN PRODUCCIÓN Y CIERRE OPERATIVO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480.00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135.00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85.00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700.00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7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7.1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Práctica de Campo I (Semanas 1-7)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120.00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30.00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30.00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180.00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7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7.2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Práctica de Campo II (Semanas 8-13)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120.00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30.00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30.00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180.00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7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7.3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Responsabilidad Social Universitaria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40.00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60.00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7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7.4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Medición de Línea Base Pretest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40.00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60.00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7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7.5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Medición Postest Censal (n=125)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60.00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80.00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7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7.6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Informe de Resultados Empresariales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40.00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60.00</w:t>
            </w:r>
          </w:p>
        </w:tc>
      </w:tr>
      <w:tr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SUBTOTAL FASE 7.0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>PRÁCTICAS DE CAMPO, RSU Y EVALUACIÓN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420.00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100.00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100.00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620.00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8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8.1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Inferencia Estadística y Contraste Hipótesis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48.00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12.00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70.00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8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8.2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Artículo Científico (Paper IEEE)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40.00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60.00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8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8.3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Memoria Técnica del Software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40.00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60.00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8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8.4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Portafolio Capstone Consolidado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40.00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60.00</w:t>
            </w:r>
          </w:p>
        </w:tc>
      </w:tr>
      <w:tr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Fase 8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5"/>
              </w:rPr>
              <w:t>EDT 8.5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Cierre Formal y Sustentación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40.00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10.00</w:t>
            </w:r>
          </w:p>
        </w:tc>
        <w:tc>
          <w:tcPr>
            <w:tcW w:type="dxa" w:w="133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5"/>
              </w:rPr>
              <w:t>60.00</w:t>
            </w:r>
          </w:p>
        </w:tc>
      </w:tr>
      <w:tr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SUBTOTAL FASE 8.0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6"/>
              </w:rPr>
              <w:t>CIERRE METODOLÓGICO Y PRODUCCIÓN CIENTÍFICA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208.00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50.00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52.00</w:t>
            </w:r>
          </w:p>
        </w:tc>
        <w:tc>
          <w:tcPr>
            <w:tcW w:type="dxa" w:w="1337"/>
            <w:shd w:fill="F2F2F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E79"/>
                <w:sz w:val="16"/>
              </w:rPr>
              <w:t>310.00</w:t>
            </w:r>
          </w:p>
        </w:tc>
      </w:tr>
      <w:tr>
        <w:tc>
          <w:tcPr>
            <w:tcW w:type="dxa" w:w="1337"/>
            <w:shd w:fill="FFE69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2060"/>
                <w:sz w:val="17"/>
              </w:rPr>
              <w:t>TOTAL GENERAL</w:t>
            </w:r>
          </w:p>
        </w:tc>
        <w:tc>
          <w:tcPr>
            <w:tcW w:type="dxa" w:w="1337"/>
            <w:shd w:fill="FFE69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2060"/>
                <w:sz w:val="17"/>
              </w:rPr>
            </w:r>
          </w:p>
        </w:tc>
        <w:tc>
          <w:tcPr>
            <w:tcW w:type="dxa" w:w="1337"/>
            <w:shd w:fill="FFE69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060"/>
                <w:sz w:val="17"/>
              </w:rPr>
              <w:t>PRESUPUESTO GENERAL DEL PROYECTO (100% EDT)</w:t>
            </w:r>
          </w:p>
        </w:tc>
        <w:tc>
          <w:tcPr>
            <w:tcW w:type="dxa" w:w="1337"/>
            <w:shd w:fill="FFE69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2060"/>
                <w:sz w:val="17"/>
              </w:rPr>
              <w:t>3,384.00</w:t>
            </w:r>
          </w:p>
        </w:tc>
        <w:tc>
          <w:tcPr>
            <w:tcW w:type="dxa" w:w="1337"/>
            <w:shd w:fill="FFE69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2060"/>
                <w:sz w:val="17"/>
              </w:rPr>
              <w:t>940.00</w:t>
            </w:r>
          </w:p>
        </w:tc>
        <w:tc>
          <w:tcPr>
            <w:tcW w:type="dxa" w:w="1337"/>
            <w:shd w:fill="FFE69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2060"/>
                <w:sz w:val="17"/>
              </w:rPr>
              <w:t>776.00</w:t>
            </w:r>
          </w:p>
        </w:tc>
        <w:tc>
          <w:tcPr>
            <w:tcW w:type="dxa" w:w="1337"/>
            <w:shd w:fill="FFE699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2060"/>
                <w:sz w:val="17"/>
              </w:rPr>
              <w:t>5,100.00</w:t>
            </w:r>
          </w:p>
        </w:tc>
      </w:tr>
    </w:tbl>
    <w:p/>
    <w:p>
      <w:r>
        <w:rPr>
          <w:rFonts w:ascii="Calibri" w:hAnsi="Calibri"/>
          <w:b/>
          <w:color w:val="1F4E79"/>
          <w:sz w:val="22"/>
        </w:rPr>
        <w:t>3. Criterios de Asignación y Composición de Recursos</w:t>
      </w:r>
    </w:p>
    <w:p>
      <w:r>
        <w:rPr>
          <w:rFonts w:ascii="Calibri" w:hAnsi="Calibri"/>
          <w:color w:val="333333"/>
          <w:sz w:val="19"/>
        </w:rPr>
        <w:t>• Recursos Humanos (RRHH) — S/ 3,384.00 (66.35% del total): Cuantifica las horas técnicas de desarrollo, gestión, modelado y pruebas ejecutadas por Gerardo Plasencia (Líder / Full Stack, S/ 15-22/h), Diego Rodríguez (Backend / DBA / IA, S/ 16-18/h) y Estibb Anhuaman (Frontend / UX, S/ 16-18/h).</w:t>
        <w:br/>
        <w:br/>
        <w:t>• Maquinaria, Equipos e Infraestructura — S/ 940.00 (18.43% del total): Incluye el uso y depreciación de estaciones de trabajo portátiles (laptops Intel Core i7 / 16GB RAM) a S/ 5.00/día, servidor VPS de producción Hostinger (S/ 30.00 prorrateado), proyector para capacitaciones y gastos de movilidad local para visitas de validación in situ en taller.</w:t>
        <w:br/>
        <w:br/>
        <w:t>• Consumibles y Servicios — S/ 776.00 (15.22% del total): Contempla suministro eléctrico de las estaciones de trabajo, conectividad a internet de alta velocidad con fibra óptica simétrica, dominio corporativo (imprenta.darknezz.dev), certificados SSL/TLS, impresiones técnicas de manuales a color, hojas de campo y material de sustentación ante jurado.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