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1F4E79"/>
          <w:sz w:val="28"/>
        </w:rPr>
        <w:t>DIAGNÓSTICO Y CHECKLIST DE CUMPLIMIENTO — RÚBRICA T1 (20 PUNTOS)</w:t>
      </w:r>
    </w:p>
    <w:p>
      <w:pPr>
        <w:spacing w:before="20" w:after="60"/>
      </w:pPr>
      <w:r>
        <w:rPr>
          <w:rFonts w:ascii="Calibri" w:hAnsi="Calibri"/>
          <w:b w:val="0"/>
          <w:i w:val="0"/>
          <w:color w:val="000000"/>
          <w:sz w:val="18"/>
        </w:rPr>
      </w:r>
      <w:r>
        <w:rPr>
          <w:rFonts w:ascii="Calibri" w:hAnsi="Calibri"/>
          <w:b/>
          <w:i w:val="0"/>
          <w:color w:val="000000"/>
          <w:sz w:val="18"/>
        </w:rPr>
        <w:t>Asignatura:</w:t>
      </w:r>
      <w:r>
        <w:rPr>
          <w:rFonts w:ascii="Calibri" w:hAnsi="Calibri"/>
          <w:b w:val="0"/>
          <w:i w:val="0"/>
          <w:color w:val="000000"/>
          <w:sz w:val="18"/>
        </w:rPr>
        <w:t xml:space="preserve"> Proyecto Capstone (ISC) — 2026-II  </w:t>
      </w:r>
    </w:p>
    <w:p>
      <w:pPr>
        <w:spacing w:before="20" w:after="60"/>
      </w:pPr>
      <w:r>
        <w:rPr>
          <w:rFonts w:ascii="Calibri" w:hAnsi="Calibri"/>
          <w:b w:val="0"/>
          <w:i w:val="0"/>
          <w:color w:val="000000"/>
          <w:sz w:val="18"/>
        </w:rPr>
      </w:r>
      <w:r>
        <w:rPr>
          <w:rFonts w:ascii="Calibri" w:hAnsi="Calibri"/>
          <w:b/>
          <w:i w:val="0"/>
          <w:color w:val="000000"/>
          <w:sz w:val="18"/>
        </w:rPr>
        <w:t>Equipo:</w:t>
      </w:r>
      <w:r>
        <w:rPr>
          <w:rFonts w:ascii="Calibri" w:hAnsi="Calibri"/>
          <w:b w:val="0"/>
          <w:i w:val="0"/>
          <w:color w:val="000000"/>
          <w:sz w:val="18"/>
        </w:rPr>
        <w:t xml:space="preserve"> Grupo 2 — Impresos Trujillo E.I.R.L.  </w:t>
      </w:r>
    </w:p>
    <w:p>
      <w:pPr>
        <w:spacing w:before="20" w:after="60"/>
      </w:pPr>
      <w:r>
        <w:rPr>
          <w:rFonts w:ascii="Calibri" w:hAnsi="Calibri"/>
          <w:b w:val="0"/>
          <w:i w:val="0"/>
          <w:color w:val="000000"/>
          <w:sz w:val="18"/>
        </w:rPr>
      </w:r>
      <w:r>
        <w:rPr>
          <w:rFonts w:ascii="Calibri" w:hAnsi="Calibri"/>
          <w:b/>
          <w:i w:val="0"/>
          <w:color w:val="000000"/>
          <w:sz w:val="18"/>
        </w:rPr>
        <w:t>Integrantes:</w:t>
      </w:r>
      <w:r>
        <w:rPr>
          <w:rFonts w:ascii="Calibri" w:hAnsi="Calibri"/>
          <w:b w:val="0"/>
          <w:i w:val="0"/>
          <w:color w:val="000000"/>
          <w:sz w:val="18"/>
        </w:rPr>
      </w:r>
    </w:p>
    <w:p>
      <w:pPr>
        <w:pStyle w:val="ListBullet"/>
        <w:spacing w:before="0" w:after="40"/>
      </w:pPr>
      <w:r>
        <w:rPr>
          <w:rFonts w:ascii="Calibri" w:hAnsi="Calibri"/>
          <w:b w:val="0"/>
          <w:i w:val="0"/>
          <w:color w:val="000000"/>
          <w:sz w:val="18"/>
        </w:rPr>
        <w:t>Gerardo Erick Plasencia Torres (Líder de Proyecto / Full Stack)</w:t>
      </w:r>
    </w:p>
    <w:p>
      <w:pPr>
        <w:pStyle w:val="ListBullet"/>
        <w:spacing w:before="0" w:after="40"/>
      </w:pPr>
      <w:r>
        <w:rPr>
          <w:rFonts w:ascii="Calibri" w:hAnsi="Calibri"/>
          <w:b w:val="0"/>
          <w:i w:val="0"/>
          <w:color w:val="000000"/>
          <w:sz w:val="18"/>
        </w:rPr>
        <w:t>Jose Estibb Anhuaman Delgado (Frontend Developer)</w:t>
      </w:r>
    </w:p>
    <w:p>
      <w:pPr>
        <w:pStyle w:val="ListBullet"/>
        <w:spacing w:before="0" w:after="40"/>
      </w:pPr>
      <w:r>
        <w:rPr>
          <w:rFonts w:ascii="Calibri" w:hAnsi="Calibri"/>
          <w:b w:val="0"/>
          <w:i w:val="0"/>
          <w:color w:val="000000"/>
          <w:sz w:val="18"/>
        </w:rPr>
        <w:t>Jose Diego Rodríguez Vásquez (Backend Developer / Data &amp; IA)</w:t>
      </w:r>
    </w:p>
    <w:p>
      <w:pPr>
        <w:spacing w:before="80" w:after="80"/>
      </w:pPr>
    </w:p>
    <w:p>
      <w:pPr>
        <w:spacing w:before="200" w:after="60"/>
      </w:pPr>
      <w:r>
        <w:rPr>
          <w:rFonts w:ascii="Calibri" w:hAnsi="Calibri"/>
          <w:b/>
          <w:i w:val="0"/>
          <w:color w:val="1F4E79"/>
          <w:sz w:val="24"/>
        </w:rPr>
        <w:t>1. Mapeo Criterio por Criterio vs. Estado del Proyecto</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Mar>
              <w:top w:w="80" w:type="dxa"/>
              <w:bottom w:w="80" w:type="dxa"/>
              <w:left w:w="100" w:type="dxa"/>
              <w:right w:w="100" w:type="dxa"/>
            </w:tcMar>
          </w:tcPr>
          <w:p>
            <w:pPr>
              <w:spacing w:before="40" w:after="40"/>
            </w:pPr>
            <w:r>
              <w:rPr>
                <w:rFonts w:ascii="Calibri" w:hAnsi="Calibri"/>
                <w:b/>
                <w:i w:val="0"/>
                <w:color w:val="FFFFFF"/>
                <w:sz w:val="18"/>
              </w:rPr>
              <w:t>Nº</w:t>
            </w:r>
          </w:p>
        </w:tc>
        <w:tc>
          <w:tcPr>
            <w:tcW w:type="dxa" w:w="2016"/>
            <w:shd w:fill="1F4E79"/>
            <w:tcMar>
              <w:top w:w="80" w:type="dxa"/>
              <w:bottom w:w="80" w:type="dxa"/>
              <w:left w:w="100" w:type="dxa"/>
              <w:right w:w="100" w:type="dxa"/>
            </w:tcMar>
          </w:tcPr>
          <w:p>
            <w:pPr>
              <w:spacing w:before="40" w:after="40"/>
            </w:pPr>
            <w:r>
              <w:rPr>
                <w:rFonts w:ascii="Calibri" w:hAnsi="Calibri"/>
                <w:b/>
                <w:i w:val="0"/>
                <w:color w:val="FFFFFF"/>
                <w:sz w:val="18"/>
              </w:rPr>
              <w:t>Criterio de la Rúbrica</w:t>
            </w:r>
          </w:p>
        </w:tc>
        <w:tc>
          <w:tcPr>
            <w:tcW w:type="dxa" w:w="2016"/>
            <w:shd w:fill="1F4E79"/>
            <w:tcMar>
              <w:top w:w="80" w:type="dxa"/>
              <w:bottom w:w="80" w:type="dxa"/>
              <w:left w:w="100" w:type="dxa"/>
              <w:right w:w="100" w:type="dxa"/>
            </w:tcMar>
          </w:tcPr>
          <w:p>
            <w:pPr>
              <w:spacing w:before="40" w:after="40"/>
            </w:pPr>
            <w:r>
              <w:rPr>
                <w:rFonts w:ascii="Calibri" w:hAnsi="Calibri"/>
                <w:b/>
                <w:i w:val="0"/>
                <w:color w:val="FFFFFF"/>
                <w:sz w:val="18"/>
              </w:rPr>
              <w:t>Puntaje Máximo</w:t>
            </w:r>
          </w:p>
        </w:tc>
        <w:tc>
          <w:tcPr>
            <w:tcW w:type="dxa" w:w="2016"/>
            <w:shd w:fill="1F4E79"/>
            <w:tcMar>
              <w:top w:w="80" w:type="dxa"/>
              <w:bottom w:w="80" w:type="dxa"/>
              <w:left w:w="100" w:type="dxa"/>
              <w:right w:w="100" w:type="dxa"/>
            </w:tcMar>
          </w:tcPr>
          <w:p>
            <w:pPr>
              <w:spacing w:before="40" w:after="40"/>
            </w:pPr>
            <w:r>
              <w:rPr>
                <w:rFonts w:ascii="Calibri" w:hAnsi="Calibri"/>
                <w:b/>
                <w:i w:val="0"/>
                <w:color w:val="FFFFFF"/>
                <w:sz w:val="18"/>
              </w:rPr>
              <w:t>Diagnóstico del Equipo (¿Cómo lo cubrimos?)</w:t>
            </w:r>
          </w:p>
        </w:tc>
        <w:tc>
          <w:tcPr>
            <w:tcW w:type="dxa" w:w="2016"/>
            <w:shd w:fill="1F4E79"/>
            <w:tcMar>
              <w:top w:w="80" w:type="dxa"/>
              <w:bottom w:w="80" w:type="dxa"/>
              <w:left w:w="100" w:type="dxa"/>
              <w:right w:w="100" w:type="dxa"/>
            </w:tcMar>
          </w:tcPr>
          <w:p>
            <w:pPr>
              <w:spacing w:before="40" w:after="40"/>
            </w:pPr>
            <w:r>
              <w:rPr>
                <w:rFonts w:ascii="Calibri" w:hAnsi="Calibri"/>
                <w:b/>
                <w:i w:val="0"/>
                <w:color w:val="FFFFFF"/>
                <w:sz w:val="18"/>
              </w:rPr>
              <w:t>Estado</w:t>
            </w:r>
          </w:p>
        </w:tc>
      </w:tr>
      <w:tr>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1</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Orden - EXPOSICIÓN</w:t>
              <w:br/>
              <w:t>*(Puntualidad, pertinencia, exactitud y trabajo colaborativo)*</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3 pts</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 Puntualidad: Equipo completo presente al inicio del turno.</w:t>
              <w:br/>
              <w:t>• Estructura clara de exposición: 15 minutos cronometrados divididos en: Negocio real y problemática (3 min), Arquitectura y desarrollo técnico (5 min), Demostración funcional en vivo del software (5 min) y Métricas/EVM/Cierre (2 min).</w:t>
              <w:br/>
              <w:t>• Trabajo colaborativo visible: Los 3 integrantes exponen su parte técnica concreta y responden preguntas cruzadas sin contradicciones.</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CUBIERTO AL 100%</w:t>
            </w:r>
          </w:p>
        </w:tc>
      </w:tr>
      <w:tr>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2</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Completitud de Documentación del Informe</w:t>
              <w:br/>
              <w:t>*(Desarrolla todos los ítems del Informe)*</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4 pts</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 Informe T1 (`2026-2_ISC-Informe_Proyecto Final_CAPST.docx`):</w:t>
              <w:br/>
              <w:t>- Resumen omitido (según orden docente #8).</w:t>
              <w:br/>
              <w:t>- Cap. 2: Situación actual de Impresos Trujillo y recolección de info en taller.</w:t>
              <w:br/>
              <w:t>- Cap. 3: Antecedentes corregidos, Árbol de problemas, Pareto, 2 Ishikawas, MOV con ISO 25010 (escalas de medición), Técnicas/Instrumentos y Juicio de expertos.</w:t>
              <w:br/>
              <w:t>- Cap. 4: Omitido (orden docente #28).</w:t>
              <w:br/>
              <w:t>- Cap. 5: Alternativas de mercado (sin Excel), Impacto integral (social, legal, ambiental/huella de carbono), Arquitectura/Infraestructura (C4/contenedores SIN UML), Matriz de Riesgos (con contingencia), Matriz de Stakeholders, Presupuesto consolidado (S/ 5,100) y Plan de Calidad ISO 25010.</w:t>
              <w:br/>
              <w:t>*Acción:* Se ensambla a partir de los documentos ya aprobados del portafolio.</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EN FASE DE ENSAMBLE FINAL</w:t>
            </w:r>
          </w:p>
        </w:tc>
      </w:tr>
      <w:tr>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3</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Portafolio Completo y Correcto</w:t>
              <w:br/>
              <w:t>*(Desarrolla toda la documentación CORREGIDA - COMPLETA)*</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4 pts</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 Semana 1: Acta de Constitución, Business Case, Requerimientos (SRS IEEE 830).</w:t>
              <w:br/>
              <w:t>• Semana 2: EDT jerárquica, Cronograma valorizado, Estructura de Análisis, Matriz de Consistencia.</w:t>
              <w:br/>
              <w:t>• Semana 3: Plan de Desarrollo de Software, Matriz de Riesgos, Matriz de Comunicaciones, Matriz RACI.</w:t>
              <w:br/>
              <w:t>• Semana 4 (Corregida): Informe de Estado (Sección 4 "No aplica", fórmulas matemáticas explícitas, códigos EDT, entregables técnicos sin "fórmulas"), Product Backlog (DoD, Gherkin), Scrum Diario.</w:t>
              <w:br/>
              <w:t>• Semana 5: Acta de Aceptación suscrita/preparada para el 26/09, Informe de Estado Sprint 2, Scrum Diario Sprint 2, Plantilla de Costeo EDT (S/ 5,100.00), Lecciones Aprendidas Scrum.</w:t>
              <w:br/>
              <w:t>*(Todos los entregables en `.docx`, `.pdf` y `.xlsx` correspondientes).*</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CUBIERTO AL 100%</w:t>
            </w:r>
          </w:p>
        </w:tc>
      </w:tr>
      <w:tr>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4</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Coherencia - Redacción en Exposición e Informe</w:t>
              <w:br/>
              <w:t>*(No presenta incoherencias ni ambigüedades)*</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3 pts</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 Coherencia estricta entre la problemática real de la imprenta (fuga de cobranzas por "Yape falso", descontrol de mermas en bobinas de 100m y planchas de MDF) y la solución de software (Candado Digital, cálculo dinámico de ganancia neta por rollo, cotizador con anticipo 50%).</w:t>
              <w:br/>
              <w:t>• Cero contradicciones en stack: Angular 21 + FastAPI + PostgreSQL nativo en Docker Compose + VPS particular propio (sin Supabase, sin Cloud Run, sin Figma).</w:t>
              <w:br/>
              <w:t>• Datos numéricos consistentes en todos los documentos: S/ 5,100.00 de presupuesto, 16 semanas, muestra censal n=125.</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CUBIERTO AL 100%</w:t>
            </w:r>
          </w:p>
        </w:tc>
      </w:tr>
      <w:tr>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5</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Software Modular Funcional y Útil</w:t>
              <w:br/>
              <w:t>*(Software funcional y útil sin fallas)*</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3 pts</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 Batería Automatizada Integral (375 pruebas al 100%, 0 fallos): 93 pruebas en backend con pytest/FastAPI y 282 pruebas en frontend con Vitest/Angular 21 (servicios, componentes y guards).</w:t>
              <w:br/>
              <w:t>• Base de Datos PostgreSQL: Modelos SQLAlchemy y migraciones DDL con Alembic (`70522830813f`).</w:t>
              <w:br/>
              <w:t>• Frontend Angular 21: Formulario reactivo de Login con JWT y AuthGuards, Cotizador dinámico con anticipo obligatorio, Pestaña de Control de Bobinas y Planchas con barra visual de consumo y cálculo de rentabilidad neta, Venta Rápida de mostrador express y Módulo de Caja con acción "Observar Pago" y Candado Digital.</w:t>
              <w:br/>
              <w:t>• Pipeline CI/CD: GitHub Actions compilando y testeando automáticamente + despliegue automatizado a VPS propio.</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CUBIERTO AL 100%</w:t>
            </w:r>
          </w:p>
        </w:tc>
      </w:tr>
      <w:tr>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6</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Ortografía / Redacción en Exposición e Informe</w:t>
              <w:br/>
              <w:t>*(No presenta fallas ortográficas ni gramaticales)*</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2 pts</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 Revisión exhaustiva de ortografía y gramática en todos los documentos generados (tildación en mayúsculas, signos de puntuación, normas de estilo).</w:t>
              <w:br/>
              <w:t>• Vocabulario técnico preciso de ingeniería de software y terminología gráfica industrial (bobinas, sustratos, metros lineales, mermas, sangrado, frontlit, UV DTF).</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CUBIERTO AL 100%</w:t>
            </w:r>
          </w:p>
        </w:tc>
      </w:tr>
      <w:tr>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7</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Fundamentación (SIN IA)</w:t>
              <w:br/>
              <w:t>*(Fundamentación correcta de acuerdo a criterios. Sin respuestas genéricas de IA)*</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3 pts</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 Estrategia "Anti-IA": Respuestas sustentadas en el código real del repositorio (`backend/app/...`, `frontend/src/...`), en la base de datos real, en los 5 porqués de taller y en las entrevistas con Marcell Vásquez Loje.</w:t>
              <w:br/>
              <w:t>• Dominio de los "por qué": ¿Por qué no usamos Supabase? ¿Por qué no usamos UML? ¿Cómo calculas la rentabilidad de un rollo de UV DTF? ¿Qué hace exactamente la migración de Alembic? ¿Cómo funciona matemáticamente el SPI y CPI del EVM?</w:t>
              <w:br/>
              <w:t>• El equipo no recita definiciones teóricas, explica la ingeniería aplicada en su sistema.</w:t>
            </w:r>
          </w:p>
        </w:tc>
        <w:tc>
          <w:tcPr>
            <w:tcW w:type="dxa" w:w="2016"/>
            <w:shd w:fill="F9FAFC"/>
            <w:tcMar>
              <w:top w:w="80" w:type="dxa"/>
              <w:bottom w:w="80" w:type="dxa"/>
              <w:left w:w="100" w:type="dxa"/>
              <w:right w:w="100" w:type="dxa"/>
            </w:tcMar>
          </w:tcPr>
          <w:p>
            <w:pPr>
              <w:spacing w:before="40" w:after="40"/>
            </w:pPr>
            <w:r>
              <w:rPr>
                <w:rFonts w:ascii="Calibri" w:hAnsi="Calibri"/>
                <w:b w:val="0"/>
                <w:i w:val="0"/>
                <w:color w:val="000000"/>
                <w:sz w:val="17"/>
              </w:rPr>
              <w:t>CUBIERTO AL 100% *(Con la Guía de Sustentación)*</w:t>
            </w:r>
          </w:p>
        </w:tc>
      </w:tr>
      <w:tr>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TOTAL</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CALIFICACIÓN PROYECTADA</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20 pts</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Cumplimiento riguroso de la escala máxima evaluativa.</w:t>
            </w:r>
          </w:p>
        </w:tc>
        <w:tc>
          <w:tcPr>
            <w:tcW w:type="dxa" w:w="2016"/>
            <w:shd w:fill="FFFFFF"/>
            <w:tcMar>
              <w:top w:w="80" w:type="dxa"/>
              <w:bottom w:w="80" w:type="dxa"/>
              <w:left w:w="100" w:type="dxa"/>
              <w:right w:w="100" w:type="dxa"/>
            </w:tcMar>
          </w:tcPr>
          <w:p>
            <w:pPr>
              <w:spacing w:before="40" w:after="40"/>
            </w:pPr>
            <w:r>
              <w:rPr>
                <w:rFonts w:ascii="Calibri" w:hAnsi="Calibri"/>
                <w:b w:val="0"/>
                <w:i w:val="0"/>
                <w:color w:val="000000"/>
                <w:sz w:val="17"/>
              </w:rPr>
              <w:t>20 / 20</w:t>
            </w:r>
          </w:p>
        </w:tc>
      </w:tr>
    </w:tbl>
    <w:p>
      <w:pPr>
        <w:spacing w:after="80"/>
      </w:pPr>
    </w:p>
    <w:p>
      <w:pPr>
        <w:spacing w:before="80" w:after="80"/>
      </w:pPr>
    </w:p>
    <w:p>
      <w:pPr>
        <w:spacing w:before="200" w:after="60"/>
      </w:pPr>
      <w:r>
        <w:rPr>
          <w:rFonts w:ascii="Calibri" w:hAnsi="Calibri"/>
          <w:b/>
          <w:i w:val="0"/>
          <w:color w:val="1F4E79"/>
          <w:sz w:val="24"/>
        </w:rPr>
        <w:t>2. Puntos Críticos de Alerta para Asegurar los 20 Puntos</w:t>
      </w:r>
    </w:p>
    <w:p>
      <w:pPr>
        <w:spacing w:before="20" w:after="60"/>
      </w:pPr>
      <w:r>
        <w:rPr>
          <w:rFonts w:ascii="Calibri" w:hAnsi="Calibri"/>
          <w:b w:val="0"/>
          <w:i w:val="0"/>
          <w:color w:val="000000"/>
          <w:sz w:val="18"/>
        </w:rPr>
        <w:t xml:space="preserve">1. </w:t>
      </w:r>
      <w:r>
        <w:rPr>
          <w:rFonts w:ascii="Calibri" w:hAnsi="Calibri"/>
          <w:b/>
          <w:i w:val="0"/>
          <w:color w:val="000000"/>
          <w:sz w:val="18"/>
        </w:rPr>
        <w:t>Evitar a toda costa frases "cliché de IA":</w:t>
      </w:r>
      <w:r>
        <w:rPr>
          <w:rFonts w:ascii="Calibri" w:hAnsi="Calibri"/>
          <w:b w:val="0"/>
          <w:i w:val="0"/>
          <w:color w:val="000000"/>
          <w:sz w:val="18"/>
        </w:rPr>
      </w:r>
    </w:p>
    <w:p>
      <w:pPr>
        <w:pStyle w:val="ListBullet"/>
        <w:spacing w:before="0" w:after="40"/>
      </w:pPr>
      <w:r>
        <w:rPr>
          <w:rFonts w:ascii="Calibri" w:hAnsi="Calibri"/>
          <w:b w:val="0"/>
          <w:i w:val="0"/>
          <w:color w:val="000000"/>
          <w:sz w:val="18"/>
        </w:rPr>
        <w:t>❌ *No decir:* "Scrum es un marco ágil colaborativo que aporta valor al cliente de manera iterativa..."</w:t>
      </w:r>
    </w:p>
    <w:p>
      <w:pPr>
        <w:pStyle w:val="ListBullet"/>
        <w:spacing w:before="0" w:after="40"/>
      </w:pPr>
      <w:r>
        <w:rPr>
          <w:rFonts w:ascii="Calibri" w:hAnsi="Calibri"/>
          <w:b w:val="0"/>
          <w:i w:val="0"/>
          <w:color w:val="000000"/>
          <w:sz w:val="18"/>
        </w:rPr>
        <w:t>✅ *Decir:* "En el Sprint 2 nos enfocamos en cerrar las historias HU-02, HU-03 y HU-08 porque en la visita al taller vimos que Marcell perdía dinero diario con capturas adulteradas de Yape y retazos botados de Film UV DTF".</w:t>
      </w:r>
    </w:p>
    <w:p>
      <w:pPr>
        <w:spacing w:before="20" w:after="60"/>
      </w:pPr>
      <w:r>
        <w:rPr>
          <w:rFonts w:ascii="Calibri" w:hAnsi="Calibri"/>
          <w:b w:val="0"/>
          <w:i w:val="0"/>
          <w:color w:val="000000"/>
          <w:sz w:val="18"/>
        </w:rPr>
        <w:t xml:space="preserve">2. </w:t>
      </w:r>
      <w:r>
        <w:rPr>
          <w:rFonts w:ascii="Calibri" w:hAnsi="Calibri"/>
          <w:b/>
          <w:i w:val="0"/>
          <w:color w:val="000000"/>
          <w:sz w:val="18"/>
        </w:rPr>
        <w:t>Tener el software corriendo localmente y en el VPS:</w:t>
      </w:r>
      <w:r>
        <w:rPr>
          <w:rFonts w:ascii="Calibri" w:hAnsi="Calibri"/>
          <w:b w:val="0"/>
          <w:i w:val="0"/>
          <w:color w:val="000000"/>
          <w:sz w:val="18"/>
        </w:rPr>
      </w:r>
    </w:p>
    <w:p>
      <w:pPr>
        <w:pStyle w:val="ListBullet"/>
        <w:spacing w:before="0" w:after="40"/>
      </w:pPr>
      <w:r>
        <w:rPr>
          <w:rFonts w:ascii="Calibri" w:hAnsi="Calibri"/>
          <w:b w:val="0"/>
          <w:i w:val="0"/>
          <w:color w:val="000000"/>
          <w:sz w:val="18"/>
        </w:rPr>
        <w:t>Tener levantado el Docker Compose local (`docker compose up`) y tener listo el acceso al servidor VPS como respaldo.</w:t>
      </w:r>
    </w:p>
    <w:p>
      <w:pPr>
        <w:pStyle w:val="ListBullet"/>
        <w:spacing w:before="0" w:after="40"/>
      </w:pPr>
      <w:r>
        <w:rPr>
          <w:rFonts w:ascii="Calibri" w:hAnsi="Calibri"/>
          <w:b w:val="0"/>
          <w:i w:val="0"/>
          <w:color w:val="000000"/>
          <w:sz w:val="18"/>
        </w:rPr>
        <w:t>Demostrar una orden real de 5 metros de impresión UV DTF, ver cómo descuenta de la bobina de 100 metros, calcular la merma y ver cómo el candado digital impide entregar el pedido si no se ha pagado el saldo.</w:t>
      </w:r>
    </w:p>
    <w:p>
      <w:pPr>
        <w:spacing w:before="20" w:after="60"/>
      </w:pPr>
      <w:r>
        <w:rPr>
          <w:rFonts w:ascii="Calibri" w:hAnsi="Calibri"/>
          <w:b w:val="0"/>
          <w:i w:val="0"/>
          <w:color w:val="000000"/>
          <w:sz w:val="18"/>
        </w:rPr>
        <w:t xml:space="preserve">3. </w:t>
      </w:r>
      <w:r>
        <w:rPr>
          <w:rFonts w:ascii="Calibri" w:hAnsi="Calibri"/>
          <w:b/>
          <w:i w:val="0"/>
          <w:color w:val="000000"/>
          <w:sz w:val="18"/>
        </w:rPr>
        <w:t>Sincronización del equipo:</w:t>
      </w:r>
      <w:r>
        <w:rPr>
          <w:rFonts w:ascii="Calibri" w:hAnsi="Calibri"/>
          <w:b w:val="0"/>
          <w:i w:val="0"/>
          <w:color w:val="000000"/>
          <w:sz w:val="18"/>
        </w:rPr>
      </w:r>
    </w:p>
    <w:p>
      <w:pPr>
        <w:pStyle w:val="ListBullet"/>
        <w:spacing w:before="0" w:after="40"/>
      </w:pPr>
      <w:r>
        <w:rPr>
          <w:rFonts w:ascii="Calibri" w:hAnsi="Calibri"/>
          <w:b w:val="0"/>
          <w:i w:val="0"/>
          <w:color w:val="000000"/>
          <w:sz w:val="18"/>
        </w:rPr>
        <w:t>Si el profesor le pregunta a Estibb sobre la base de datos, Estibb explica cómo la consume el frontend y cede con precisión a Diego para los detalles de Alembic. Cero contradicciones.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