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/>
          <w:b/>
          <w:i w:val="0"/>
          <w:color w:val="1F4E79"/>
          <w:sz w:val="28"/>
        </w:rPr>
        <w:t>Formato de Lecciones Aprendidas – Scrum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595959"/>
          <w:sz w:val="19"/>
        </w:rPr>
        <w:t>Registro de aprendizajes obtenidos durante los eventos del marco Scrum</w:t>
        <w:br/>
        <w:t>(Sprint Planning, Daily Scrum, Sprint Review, Sprint Retrospective)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F2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Proyecto:</w:t>
            </w:r>
          </w:p>
        </w:tc>
        <w:tc>
          <w:tcPr>
            <w:tcW w:type="dxa" w:w="76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Implementación de un sistema web transaccional con módulos de inteligencia de negocios e inteligencia artificial para la optimización de los procesos operativos en la empresa Impresos Trujillo E.I.R.L.</w:t>
            </w:r>
          </w:p>
        </w:tc>
      </w:tr>
      <w:tr>
        <w:tc>
          <w:tcPr>
            <w:tcW w:type="dxa" w:w="2592"/>
            <w:shd w:fill="F2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Sprint Nº / Período:</w:t>
            </w:r>
          </w:p>
        </w:tc>
        <w:tc>
          <w:tcPr>
            <w:tcW w:type="dxa" w:w="76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 2 (Semana 5: del 21/09/2026 al 26/09/2026)  |  Fecha de Sesión: 26/09/2026</w:t>
            </w:r>
          </w:p>
        </w:tc>
      </w:tr>
      <w:tr>
        <w:tc>
          <w:tcPr>
            <w:tcW w:type="dxa" w:w="2592"/>
            <w:shd w:fill="F2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Scrum Master:</w:t>
            </w:r>
          </w:p>
        </w:tc>
        <w:tc>
          <w:tcPr>
            <w:tcW w:type="dxa" w:w="76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Gerardo Erick Plasencia Torres (Líder de Proyecto / Full Stack)</w:t>
            </w:r>
          </w:p>
        </w:tc>
      </w:tr>
      <w:tr>
        <w:tc>
          <w:tcPr>
            <w:tcW w:type="dxa" w:w="2592"/>
            <w:shd w:fill="F2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Product Owner:</w:t>
            </w:r>
          </w:p>
        </w:tc>
        <w:tc>
          <w:tcPr>
            <w:tcW w:type="dxa" w:w="76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Marcell Magaly Vásquez Loje (Gerente de Administración / Impresos Trujillo E.I.R.L.)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i w:val="0"/>
          <w:color w:val="1F4E79"/>
          <w:sz w:val="22"/>
        </w:rPr>
        <w:t>Registro de Lecciones Aprendidas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576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Nº</w:t>
            </w:r>
          </w:p>
        </w:tc>
        <w:tc>
          <w:tcPr>
            <w:tcW w:type="dxa" w:w="1728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Evento Scrum</w:t>
            </w:r>
          </w:p>
        </w:tc>
        <w:tc>
          <w:tcPr>
            <w:tcW w:type="dxa" w:w="2880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Lección Aprendida</w:t>
            </w:r>
          </w:p>
        </w:tc>
        <w:tc>
          <w:tcPr>
            <w:tcW w:type="dxa" w:w="2592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Causa Raíz (5 Porqués)</w:t>
            </w:r>
          </w:p>
        </w:tc>
        <w:tc>
          <w:tcPr>
            <w:tcW w:type="dxa" w:w="2448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Acción de Mejora (Compromiso)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7"/>
              </w:rPr>
              <w:t>Sprint Planning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 estimación y diseño de historias que gestionan inventario fraccionado (rollos continuos UV DTF de 100m y planchas MDF de 2.44x1.22m) exige modelar y aislar la capa relacional de base de datos antes de comprometer interfaces web.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En el Sprint 1 se intentó programar formularios web sin contar con las tablas relacionales de piezas y consumos, lo que ocasionó retrabajos en frontend y aplazamiento de tareas de recetas.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Establecer como criterio del Definition of Ready (DoR) que ninguna historia de inventario o catálogo inicie maquetación sin contar previamente con sus modelos SQLAlchemy y migración Alembic probada.</w:t>
            </w:r>
          </w:p>
        </w:tc>
      </w:tr>
      <w:tr>
        <w:tc>
          <w:tcPr>
            <w:tcW w:type="dxa" w:w="576"/>
            <w:shd w:fill="F9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728"/>
            <w:shd w:fill="F9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7"/>
              </w:rPr>
              <w:t>Daily Scrum (Día 3)</w:t>
            </w:r>
          </w:p>
        </w:tc>
        <w:tc>
          <w:tcPr>
            <w:tcW w:type="dxa" w:w="2880"/>
            <w:shd w:fill="F9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 definición temprana de contratos de API REST (esquemas Pydantic y endpoints OpenAPI) entre backend y frontend previene discrepancias de nomenclatura y cuellos de botella de integración.</w:t>
            </w:r>
          </w:p>
        </w:tc>
        <w:tc>
          <w:tcPr>
            <w:tcW w:type="dxa" w:w="2592"/>
            <w:shd w:fill="F9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Diego y Gerardo emplearon nombres divergentes para los campos de cortes ('metros_consumidos' vs 'longitud_corte'), generando un bloqueo de integración de 24h que requirió refactorización.</w:t>
            </w:r>
          </w:p>
        </w:tc>
        <w:tc>
          <w:tcPr>
            <w:tcW w:type="dxa" w:w="2448"/>
            <w:shd w:fill="F9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Formalizar los contratos de datos en Swagger UI / OpenAPI previo al desarrollo y validar los endpoints mediante pruebas unitarias en pytest antes de conectar los servicios de Angular.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7"/>
              </w:rPr>
              <w:t>Daily Scrum (Día 5)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 ejecución de pruebas automatizadas en pipelines de CI/CD para entornos headless (GitHub Actions en Linux) requiere ejecutores ligeros desacoplados del entorno gráfico del sistema operativo.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Angular 21 por defecto requería paquetes gráficos de Chromium/Karma no disponibles en el contenedor de CI, provocando fallos en el flujo de integración continua sobre Node 22.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 configuró Vitest como runner nativo de pruebas en Angular 21, logrando ejecutar 281 pruebas unitarias en frontend sin requerir browser headless y consolidando una suite total de 374 pruebas automatizadas (93 backend + 281 frontend) integradas al pipeline de GitHub Actions.</w:t>
            </w:r>
          </w:p>
        </w:tc>
      </w:tr>
      <w:tr>
        <w:tc>
          <w:tcPr>
            <w:tcW w:type="dxa" w:w="576"/>
            <w:shd w:fill="F9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728"/>
            <w:shd w:fill="F9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7"/>
              </w:rPr>
              <w:t>Sprint Review</w:t>
            </w:r>
          </w:p>
        </w:tc>
        <w:tc>
          <w:tcPr>
            <w:tcW w:type="dxa" w:w="2880"/>
            <w:shd w:fill="F9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En ambientes de producción rápida de imprenta, la interfaz debe incorporar retroalimentación cromática de alto contraste (semáforos rojo/verde) para alertar sobre deudas pendientes de cobro.</w:t>
            </w:r>
          </w:p>
        </w:tc>
        <w:tc>
          <w:tcPr>
            <w:tcW w:type="dxa" w:w="2592"/>
            <w:shd w:fill="F9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 vista inicial de pedidos presentaba badges monocromáticos en escala de grises, obligando al cajero a leer montos en lugar de identificar visualmente de inmediato las órdenes con saldo.</w:t>
            </w:r>
          </w:p>
        </w:tc>
        <w:tc>
          <w:tcPr>
            <w:tcW w:type="dxa" w:w="2448"/>
            <w:shd w:fill="F9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Implementar alertas visuales condicionales de alto contraste en el listado de pedidos para el Sprint 3: rojo brillante para saldos deudores y verde para pedidos cancelados al 100%.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7"/>
              </w:rPr>
              <w:t>Sprint Retrospective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 automatización del pipeline de despliegue continuo (CD) mediante GitHub Actions y SSH hacia el servidor VPS propio erradica el riesgo operativo de copias manuales e inconsistencias de variables .env.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Las transferencias manuales de archivos zip o sincronizaciones dispares en semanas previas causaban discrepancias entre el entorno local de desarrollo y el servidor de pruebas.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Todo incremento funcional debe integrarse y desplegarse exclusivamente a través de los workflows automatizados de GitHub Actions tras validar que el 100% de los tests unitarios pasen en verde.</w:t>
            </w:r>
          </w:p>
        </w:tc>
      </w:tr>
      <w:tr>
        <w:tc>
          <w:tcPr>
            <w:tcW w:type="dxa" w:w="576"/>
            <w:shd w:fill="F9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1728"/>
            <w:shd w:fill="F9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7"/>
              </w:rPr>
              <w:t>Sprint Retrospective</w:t>
            </w:r>
          </w:p>
        </w:tc>
        <w:tc>
          <w:tcPr>
            <w:tcW w:type="dxa" w:w="2880"/>
            <w:shd w:fill="F9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Para erradicar fugas reales de dinero por comprobantes adulterados ('Yape falso'), el sistema debe articular la auditoría de caja con el bloqueo físico inmediato de la entrega (Candado Digital).</w:t>
            </w:r>
          </w:p>
        </w:tc>
        <w:tc>
          <w:tcPr>
            <w:tcW w:type="dxa" w:w="2592"/>
            <w:shd w:fill="F9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En el taller se detectó que clientes exhibían capturas falsas de transferencias bancarias y retiraban los trabajos antes de que la administración pudiera conciliar los abonos en cuenta.</w:t>
            </w:r>
          </w:p>
        </w:tc>
        <w:tc>
          <w:tcPr>
            <w:tcW w:type="dxa" w:w="2448"/>
            <w:shd w:fill="F9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Implementar la regla de negocio estricta RN-04: al observar o anular un pago en el módulo de caja, el sistema descuenta de inmediato el monto del arqueo y reactiva el Candado Digital de entrega.</w:t>
            </w:r>
          </w:p>
        </w:tc>
      </w:tr>
    </w:tbl>
    <w:p>
      <w:pPr>
        <w:spacing w:before="240" w:after="40"/>
      </w:pPr>
      <w:r>
        <w:rPr>
          <w:rFonts w:ascii="Calibri" w:hAnsi="Calibri"/>
          <w:b/>
          <w:i w:val="0"/>
          <w:color w:val="1F4E79"/>
          <w:sz w:val="18"/>
        </w:rPr>
        <w:t>Instrucciones de uso:</w:t>
      </w:r>
    </w:p>
    <w:p>
      <w:pPr>
        <w:spacing w:after="40" w:before="0"/>
        <w:ind w:left="288"/>
      </w:pPr>
      <w:r>
        <w:rPr>
          <w:rFonts w:ascii="Calibri" w:hAnsi="Calibri"/>
          <w:b/>
          <w:i w:val="0"/>
          <w:color w:val="000000"/>
          <w:sz w:val="17"/>
        </w:rPr>
        <w:t xml:space="preserve">• Evento Scrum: </w:t>
      </w:r>
      <w:r>
        <w:rPr>
          <w:rFonts w:ascii="Calibri" w:hAnsi="Calibri"/>
          <w:b w:val="0"/>
          <w:i w:val="0"/>
          <w:color w:val="000000"/>
          <w:sz w:val="17"/>
        </w:rPr>
        <w:t>Indica en qué ceremonia o rito del marco de trabajo surgió el aprendizaje (Sprint Planning, Daily Scrum, Sprint Review, Sprint Retrospective).</w:t>
      </w:r>
    </w:p>
    <w:p>
      <w:pPr>
        <w:spacing w:after="40" w:before="0"/>
        <w:ind w:left="288"/>
      </w:pPr>
      <w:r>
        <w:rPr>
          <w:rFonts w:ascii="Calibri" w:hAnsi="Calibri"/>
          <w:b/>
          <w:i w:val="0"/>
          <w:color w:val="000000"/>
          <w:sz w:val="17"/>
        </w:rPr>
        <w:t xml:space="preserve">• Causa raíz: </w:t>
      </w:r>
      <w:r>
        <w:rPr>
          <w:rFonts w:ascii="Calibri" w:hAnsi="Calibri"/>
          <w:b w:val="0"/>
          <w:i w:val="0"/>
          <w:color w:val="000000"/>
          <w:sz w:val="17"/>
        </w:rPr>
        <w:t>Describe objetivamente el motivo determinante del hallazgo, empleando análisis causal (técnica de los 5 Porqués).</w:t>
      </w:r>
    </w:p>
    <w:p>
      <w:pPr>
        <w:spacing w:after="40" w:before="0"/>
        <w:ind w:left="288"/>
      </w:pPr>
      <w:r>
        <w:rPr>
          <w:rFonts w:ascii="Calibri" w:hAnsi="Calibri"/>
          <w:b/>
          <w:i w:val="0"/>
          <w:color w:val="000000"/>
          <w:sz w:val="17"/>
        </w:rPr>
        <w:t xml:space="preserve">• Acción de mejora: </w:t>
      </w:r>
      <w:r>
        <w:rPr>
          <w:rFonts w:ascii="Calibri" w:hAnsi="Calibri"/>
          <w:b w:val="0"/>
          <w:i w:val="0"/>
          <w:color w:val="000000"/>
          <w:sz w:val="17"/>
        </w:rPr>
        <w:t>Establece un compromiso concreto, accionable y verificable a incorporar formalmente en el backlog del siguiente ciclo (Sprint 3).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