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20"/>
        </w:rPr>
        <w:t>PROYECTO CAPSTONE (2026-II) — IMPRESOS TRUJILLO E.I.R.L.</w:t>
        <w:br/>
      </w:r>
      <w:r>
        <w:rPr>
          <w:color w:val="D99B00"/>
          <w:sz w:val="18"/>
        </w:rPr>
        <w:t>ENTREGABLE SEMANA 05 | SCRUM DIARIO (DAILY STANDUP)</w:t>
      </w:r>
    </w:p>
    <w:p>
      <w:r>
        <w:rPr>
          <w:b/>
          <w:color w:val="1B365D"/>
          <w:sz w:val="32"/>
        </w:rPr>
        <w:t>SCRUM DIARIO — SPRINT 2 (SEMANA 05)</w:t>
      </w:r>
    </w:p>
    <w:p>
      <w:pPr>
        <w:spacing w:after="200"/>
      </w:pPr>
      <w:r>
        <w:t>Período: 21/09/2026 al 26/09/2026 | Entorno: Desarrollo Docker + Pipeline CI/CD a VPS particular</w:t>
        <w:br/>
        <w:t>Equipo: Gerardo Erick Plasencia Torres, Jose Estibb Anhuaman Delgado, Jose Diego Rodriguez Vasquez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7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Día / Sprint</w:t>
            </w:r>
          </w:p>
        </w:tc>
        <w:tc>
          <w:tcPr>
            <w:tcW w:type="dxa" w:w="2304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Por Hacer (To Do)</w:t>
            </w:r>
          </w:p>
        </w:tc>
        <w:tc>
          <w:tcPr>
            <w:tcW w:type="dxa" w:w="1584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En Espera (On Hold)</w:t>
            </w:r>
          </w:p>
        </w:tc>
        <w:tc>
          <w:tcPr>
            <w:tcW w:type="dxa" w:w="216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En Proceso (In Progress)</w:t>
            </w:r>
          </w:p>
        </w:tc>
        <w:tc>
          <w:tcPr>
            <w:tcW w:type="dxa" w:w="216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Terminado (Done)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r>
              <w:rPr>
                <w:b/>
                <w:color w:val="1B365D"/>
              </w:rPr>
              <w:t>Día 1 (21/09/2026)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[T-15] Sprint Planning 2: Refinamiento HU-02, HU-03, HU-04, HU-07.</w:t>
              <w:br/>
              <w:t>• [T-16] Modelo SQLAlchemy piezas_lote_material y consumos_pieza.</w:t>
              <w:br/>
              <w:t>• [T-17] Modelo OrdenPago con estados y motivos auditoría.</w:t>
              <w:br/>
              <w:t>• [T-18] Componentes UI venta rápida y rollos en Angular 21.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Sin impedimentos operativos.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[T-15] Desglose de historias y criterios DoD.</w:t>
              <w:br/>
              <w:t>• [T-16] Modelado relacional en SQLAlchemy.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[T-15] Sprint Planning 2 concluido: Sprint Backlog formalizado.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r>
              <w:rPr>
                <w:b/>
                <w:color w:val="1B365D"/>
              </w:rPr>
              <w:t>Día 2 (22/09/2026)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[T-18] Maquetación de interfaz Control de Rollos y Planchas.</w:t>
              <w:br/>
              <w:t>• [T-19] Endpoints REST gestión de piezas de lote.</w:t>
              <w:br/>
              <w:t>• [T-20] Auditoría de caja con filtros y cambio de estado.</w:t>
              <w:br/>
              <w:t>• [T-21] Cotizador de gigantografías con regla de 50% anticipo.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Sin impedimentos.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[T-16] Migración alembic de tablas de stock físico.</w:t>
              <w:br/>
              <w:t>• [T-17] Endpoints para actualización de estados de pago.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[T-16] Tablas migradas en PostgreSQL.</w:t>
              <w:br/>
              <w:t>• [T-17] Lógica de auditoría implementada en backend.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r>
              <w:rPr>
                <w:b/>
                <w:color w:val="1B365D"/>
              </w:rPr>
              <w:t>Día 3 (23/09/2026)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[T-21] Interfaz Angular para cotizador con cálculo automático.</w:t>
              <w:br/>
              <w:t>• [T-22] Suite de pruebas frontend para componentes críticos.</w:t>
              <w:br/>
              <w:t>• [T-23] Despliegue automatizado con GitHub Actions en VPS.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Ajuste en pipeline CI/CD por permisos Docker en servidor VPS.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[T-18] Componente visual para visualización de retazos.</w:t>
              <w:br/>
              <w:t>• [T-19] Integración HTTP de piezas con UI Angular.</w:t>
              <w:br/>
              <w:t>• [T-20] Pantalla de auditoría de pagos en Angular.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[T-18/T-19] Módulo de Control de Piezas operativo.</w:t>
              <w:br/>
              <w:t>• [T-20] Módulo de Auditoría de Pagos integrado.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r>
              <w:rPr>
                <w:b/>
                <w:color w:val="1B365D"/>
              </w:rPr>
              <w:t>Día 4 (24/09/2026)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[T-22] Ejecución de pruebas unitarias frontend.</w:t>
              <w:br/>
              <w:t>• [T-24] Validación end-to-end de flujo: orden -&gt; anticipo -&gt; consumo.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Sin bloqueos (Permisos en VPS solventados con SSH key).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[T-21] Formulario de creación de órdenes con cálculo automático.</w:t>
              <w:br/>
              <w:t>• [T-23] Configuración de runner y deploy webhook en VPS.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[T-21] Cotizador dinámico y validación de anticipo 50% finalizado.</w:t>
              <w:br/>
              <w:t>• [T-23] Pipeline CI/CD desplegando en https://imprenta.darknezz.dev.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r>
              <w:rPr>
                <w:b/>
                <w:color w:val="1B365D"/>
              </w:rPr>
              <w:t>Día 5 (25/09/2026)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Pruebas de integración global y verificación de datos reales.</w:t>
              <w:br/>
              <w:t>• Preparación de entregables de Semana 05 e Informe Final.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Sin impedimentos.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[T-22] Pruebas unitarias de componentes front con Karma/Jasmine.</w:t>
              <w:br/>
              <w:t>• [T-24] Verificación de trazabilidad completa.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[T-22] Cobertura frontend superior al 80% en componentes clave.</w:t>
              <w:br/>
              <w:t>• [T-24] Flujo de producción probado con éxito.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r>
              <w:rPr>
                <w:rFonts w:ascii="Calibri" w:hAnsi="Calibri"/>
                <w:sz w:val="17"/>
              </w:rPr>
              <w:t>Día 6 (26/09/2026)</w:t>
              <w:br/>
              <w:t>Sustentación T1 y Aceptación en Taller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• [T-36] Sustentación del portafolio y entregables de T1 en sesión de clase universitaria ante docente asesor.</w:t>
              <w:br/>
              <w:t>• [T-37] Reunión presencial en taller de Impresos Trujillo E.I.R.L. con Juan Carlos Plasencia y Marcell Vásquez.</w:t>
              <w:br/>
              <w:t>• [T-38] Demostración técnica del incremento de Sprint 2 (Caja con candado digital, bobinas UV DTF, ventas express, CI/CD en VPS).</w:t>
              <w:br/>
              <w:t>• [T-39] Formalización y suscripción del Acta de Aceptación de Entregables AAE-01.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• Sin impedimentos; sustentación académica y reunión presencial en taller ejecutadas satisfactoriamente en sus horarios programados del sábado 26/09.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• [T-36] Exposición y sustentación del portafolio T1 en sesión de clase.</w:t>
              <w:br/>
              <w:t>• [T-37 / T-38] Demostración funcional en vivo en taller para la gerencia de la empresa.</w:t>
              <w:br/>
              <w:t>• [T-39] Suscripción del Acta de Aceptación de Entregables AAE-01 con firmas y sellos de gerencia.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• [T-36] Sustentación de portafolio T1 completada satisfactoriamente en clase universitaria ante docente asesor.</w:t>
              <w:br/>
              <w:t>• [T-37 / T-38] Reunión técnica en taller completada exitosamente con Juan Carlos Plasencia (Gerente General) y Marcell Vásquez (Product Owner); incremento aprobado al 100%.</w:t>
              <w:br/>
              <w:t>• [T-39] Acta de Aceptación de Entregables (AAE-01) suscrita formalmente por gerencia el sábado 26/09/2026.</w:t>
              <w:br/>
              <w:t>• Cierre formal del hito de Evaluación T1 / Sprint 2 con 100% de criterios DoD cumplidos y semáforo verde.</w:t>
            </w:r>
          </w:p>
        </w:tc>
      </w:tr>
    </w:tbl>
    <w:p>
      <w:pPr>
        <w:spacing w:after="200"/>
      </w:pPr>
    </w:p>
    <w:p>
      <w:r>
        <w:rPr>
          <w:b/>
          <w:color w:val="1B365D"/>
          <w:sz w:val="24"/>
        </w:rPr>
        <w:t>Métricas y Resultados del Sprint 2</w:t>
      </w:r>
    </w:p>
    <w:p>
      <w:pPr>
        <w:spacing w:after="40"/>
      </w:pPr>
      <w:r>
        <w:t>• Total tareas abordadas: 10 tareas técnicas avanzadas.</w:t>
      </w:r>
    </w:p>
    <w:p>
      <w:pPr>
        <w:spacing w:after="40"/>
      </w:pPr>
      <w:r>
        <w:t>• Tareas completadas al 100% (Done): 10 tareas (100% de cumplimiento en Sprint 2).</w:t>
      </w:r>
    </w:p>
    <w:p>
      <w:pPr>
        <w:spacing w:after="40"/>
      </w:pPr>
      <w:r>
        <w:t>• Historias de Usuario completadas: HU-02 (Catálogo e Insumos), HU-03 (Cotizador), HU-04 (Talonario), HU-07 (Auditoría).</w:t>
      </w:r>
    </w:p>
    <w:p>
      <w:pPr>
        <w:spacing w:after="40"/>
      </w:pPr>
      <w:r>
        <w:t>• Story Points devengados en Sprint 2: 13 SP (acumulado total: 16 SP).</w:t>
      </w:r>
    </w:p>
    <w:p>
      <w:pPr>
        <w:spacing w:after="40"/>
      </w:pPr>
      <w:r>
        <w:t>• Deuda técnica saldada: Pruebas unitarias de frontend añadidas y pipeline CI/CD operativo.</w:t>
      </w:r>
    </w:p>
    <w:p>
      <w:pPr>
        <w:spacing w:after="40"/>
      </w:pPr>
      <w:r>
        <w:t>• Entorno de Producción: Sistema operativo en VPS particular (https://imprenta.darknezz.dev).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82828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